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等线 Light" w:hAnsi="等线 Light" w:eastAsia="等线 Light"/>
          <w:b/>
          <w:sz w:val="36"/>
          <w:szCs w:val="32"/>
        </w:rPr>
      </w:pPr>
      <w:r>
        <w:rPr>
          <w:rFonts w:hint="eastAsia" w:hAnsi="宋体"/>
          <w:b/>
          <w:sz w:val="30"/>
          <w:szCs w:val="30"/>
        </w:rPr>
        <w:t>互联网学院20</w:t>
      </w:r>
      <w:r>
        <w:rPr>
          <w:rFonts w:hAnsi="宋体"/>
          <w:b/>
          <w:sz w:val="30"/>
          <w:szCs w:val="30"/>
        </w:rPr>
        <w:t>2</w:t>
      </w:r>
      <w:r>
        <w:rPr>
          <w:rFonts w:hint="eastAsia" w:hAnsi="宋体"/>
          <w:b/>
          <w:sz w:val="30"/>
          <w:szCs w:val="30"/>
        </w:rPr>
        <w:t>0届计算机科技（试验班）和网络工程（试验班）</w:t>
      </w:r>
      <w:r>
        <w:rPr>
          <w:rFonts w:hint="eastAsia"/>
          <w:b/>
          <w:sz w:val="30"/>
          <w:szCs w:val="30"/>
        </w:rPr>
        <w:t>本科</w:t>
      </w:r>
      <w:r>
        <w:rPr>
          <w:rFonts w:hint="eastAsia" w:hAnsi="宋体"/>
          <w:b/>
          <w:sz w:val="30"/>
          <w:szCs w:val="30"/>
        </w:rPr>
        <w:t>毕业生推荐免试硕士研究生细则</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根据《安徽大学推荐优秀应届本科毕业生免试攻读硕士学位研究生实施办法》，针对互联网学院计算机科技（试验班）和网络工程（试验班）两个专业的具体情况，本着“公平、公开、公正”的原则，引导学生德、智、体、美、劳全面发展、自觉培养实践创新能力，使在学术科研、实践创新、综合素质等方面有突出表现的学生有更多的深造机会，现制定本细则。</w:t>
      </w:r>
    </w:p>
    <w:p>
      <w:pPr>
        <w:spacing w:line="360" w:lineRule="auto"/>
        <w:rPr>
          <w:rFonts w:ascii="Times New Roman" w:hAnsi="Times New Roman"/>
          <w:b/>
          <w:sz w:val="24"/>
          <w:szCs w:val="24"/>
        </w:rPr>
      </w:pPr>
      <w:r>
        <w:rPr>
          <w:rFonts w:hint="eastAsia" w:ascii="Times New Roman" w:hAnsi="Times New Roman"/>
          <w:b/>
          <w:sz w:val="24"/>
          <w:szCs w:val="24"/>
        </w:rPr>
        <w:t>一、保研范围、平均学分绩点计算方法</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1、品德优良，遵纪守法，身心健康；</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2、保研范围：前3学年已获得的总学分不少于120学分，且根据教务处提供的前三学年课程首次成绩平均学分绩点X1确定专业前40%学生名单；</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3、平均学分绩点X2计算方法：取公共基础课、专业基础课、专业核心课、专业选修课、实践教育的首次成绩；</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4、必须通过英语四级。</w:t>
      </w:r>
    </w:p>
    <w:p>
      <w:pPr>
        <w:spacing w:line="360" w:lineRule="auto"/>
        <w:rPr>
          <w:rFonts w:ascii="Times New Roman" w:hAnsi="Times New Roman"/>
          <w:b/>
          <w:sz w:val="24"/>
          <w:szCs w:val="24"/>
        </w:rPr>
      </w:pPr>
      <w:r>
        <w:rPr>
          <w:rFonts w:hint="eastAsia" w:ascii="Times New Roman" w:hAnsi="Times New Roman"/>
          <w:b/>
          <w:sz w:val="24"/>
          <w:szCs w:val="24"/>
        </w:rPr>
        <w:t>二、优先推免条件</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申请人材料得到学院遴选小组认可后，符合下列条件之一者，可在X2排名基础上递进相应名次（不能累计）：</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1、在《安徽大学自然科学类学术成果和科研项目分类评价认定标准》（安徽 大学文件校政〔2017〕30号）中七类以上以第一作者发表专业学术论文或以第一作者获得知识产权：</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I、在五类学术期刊上以第一作者发表专业学术论文1篇以上或一类知识产权1项以上，按照名次提前三名进行优先推免；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II、在六类学术期刊上以第一作者发表专业学术论文1篇以上或二类知识产权1项以上，按照名次提前二名进行优先推免；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III、在七类学术期刊上以第一作者发表专业学术论文1篇以上或三类知识产权1项以上，按照名次提前一名进行优先推免。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2、获得学术科技类竞赛省级一等奖或国家二等奖及以上（前一名）：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I、《安徽省大学生学科和技能竞赛部分A、B类项目列表（2017年版）》中的A类赛事国家级一等奖以上，按照名次提前三名进行优先推免；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II、非A类赛事的国家级一等奖以上，按照名次提前二名进行优先推免；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III、学术科技竞赛目录中的国家级二等奖或省级一等奖，按照名次提前一名进行优先推免。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3、参加国家级大学生创新实验项目或科研训练计划项目(参与者包括主持人取前两名)：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I、作为主持人，并优秀结题的，按照名次提前三名进行优先推免。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II、作为主持人，并合格结题的，按照名次提前两名进行优先推免。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III、作为参与者，并优秀或合格结题的，按照名次提前一名进行优先推免。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4、大学生士兵服役期间获得三等功及以上军功、优秀士兵称号、旅团级机关嘉奖之一，已获得的总学分不少于120学分，成绩排名在本专业前60%（复学后调整专业的按调整后成绩计算），可以获得免试推荐攻读硕士学位研究生资格。</w:t>
      </w:r>
    </w:p>
    <w:p>
      <w:pPr>
        <w:spacing w:line="360" w:lineRule="auto"/>
        <w:rPr>
          <w:rFonts w:ascii="Times New Roman" w:hAnsi="Times New Roman"/>
          <w:b/>
          <w:sz w:val="24"/>
          <w:szCs w:val="24"/>
        </w:rPr>
      </w:pPr>
      <w:r>
        <w:rPr>
          <w:rFonts w:hint="eastAsia" w:ascii="Times New Roman" w:hAnsi="Times New Roman"/>
          <w:b/>
          <w:sz w:val="24"/>
          <w:szCs w:val="24"/>
        </w:rPr>
        <w:t>三、排序办法</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1、首先依据X2进行排序，若X2相同，再依据获得总学分排序；</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2、根据优先推免办法调整排序，调整排序后并列情况时，依次按照学院平均学分绩点X2、总学分排序。</w:t>
      </w:r>
    </w:p>
    <w:p>
      <w:pPr>
        <w:autoSpaceDE w:val="0"/>
        <w:autoSpaceDN w:val="0"/>
        <w:adjustRightInd w:val="0"/>
        <w:spacing w:before="156" w:beforeLines="50" w:line="360" w:lineRule="auto"/>
        <w:jc w:val="left"/>
        <w:rPr>
          <w:rFonts w:hAnsi="宋体"/>
          <w:b/>
          <w:kern w:val="0"/>
          <w:sz w:val="24"/>
        </w:rPr>
      </w:pPr>
      <w:r>
        <w:rPr>
          <w:rFonts w:hint="eastAsia"/>
          <w:b/>
          <w:kern w:val="0"/>
          <w:sz w:val="24"/>
        </w:rPr>
        <w:t>四</w:t>
      </w:r>
      <w:r>
        <w:rPr>
          <w:rFonts w:hint="eastAsia" w:hAnsi="宋体"/>
          <w:b/>
          <w:kern w:val="0"/>
          <w:sz w:val="24"/>
        </w:rPr>
        <w:t>、推荐工作程序</w:t>
      </w:r>
    </w:p>
    <w:p>
      <w:pPr>
        <w:pStyle w:val="8"/>
        <w:autoSpaceDE w:val="0"/>
        <w:autoSpaceDN w:val="0"/>
        <w:adjustRightInd w:val="0"/>
        <w:spacing w:line="360" w:lineRule="auto"/>
        <w:ind w:firstLine="0" w:firstLineChars="0"/>
        <w:rPr>
          <w:kern w:val="0"/>
          <w:sz w:val="24"/>
        </w:rPr>
      </w:pPr>
      <w:r>
        <w:rPr>
          <w:rFonts w:hint="eastAsia" w:hAnsi="宋体"/>
          <w:kern w:val="0"/>
          <w:sz w:val="24"/>
        </w:rPr>
        <w:t>（一）由符合推荐条件的学生个人提出书面申请。如实介绍本人在德、智、体、能等方面的表现情况，并提交证明材料原件（经审核后退回本人）及复印件一份；</w:t>
      </w:r>
    </w:p>
    <w:p>
      <w:pPr>
        <w:pStyle w:val="8"/>
        <w:widowControl/>
        <w:spacing w:line="360" w:lineRule="auto"/>
        <w:ind w:firstLine="0" w:firstLineChars="0"/>
        <w:rPr>
          <w:kern w:val="0"/>
          <w:sz w:val="24"/>
        </w:rPr>
      </w:pPr>
      <w:r>
        <w:rPr>
          <w:rFonts w:hint="eastAsia" w:hAnsi="宋体"/>
          <w:kern w:val="0"/>
          <w:sz w:val="24"/>
        </w:rPr>
        <w:t>（二）学院推免生遴选工作小组在审核材料的基础上，遴选出推免生候选人；</w:t>
      </w:r>
    </w:p>
    <w:p>
      <w:pPr>
        <w:pStyle w:val="8"/>
        <w:autoSpaceDE w:val="0"/>
        <w:autoSpaceDN w:val="0"/>
        <w:adjustRightInd w:val="0"/>
        <w:spacing w:line="360" w:lineRule="auto"/>
        <w:ind w:firstLine="0" w:firstLineChars="0"/>
        <w:rPr>
          <w:kern w:val="0"/>
          <w:sz w:val="24"/>
        </w:rPr>
      </w:pPr>
      <w:r>
        <w:rPr>
          <w:rFonts w:hint="eastAsia" w:hAnsi="宋体"/>
          <w:kern w:val="0"/>
          <w:sz w:val="24"/>
        </w:rPr>
        <w:t>（三）</w:t>
      </w:r>
      <w:r>
        <w:rPr>
          <w:rFonts w:hAnsi="宋体"/>
          <w:kern w:val="0"/>
          <w:sz w:val="24"/>
        </w:rPr>
        <w:t>对于</w:t>
      </w:r>
      <w:r>
        <w:rPr>
          <w:rFonts w:hint="eastAsia" w:hAnsi="宋体"/>
          <w:kern w:val="0"/>
          <w:sz w:val="24"/>
        </w:rPr>
        <w:t>作品抄袭等不诚信行为，由学院推免生遴选工作小组负责裁定，依据裁定结果最高给予取消所有成员推免资格的处分；</w:t>
      </w:r>
    </w:p>
    <w:p>
      <w:pPr>
        <w:pStyle w:val="8"/>
        <w:widowControl/>
        <w:spacing w:line="360" w:lineRule="auto"/>
        <w:ind w:firstLine="0" w:firstLineChars="0"/>
        <w:rPr>
          <w:kern w:val="0"/>
          <w:sz w:val="24"/>
        </w:rPr>
      </w:pPr>
      <w:r>
        <w:rPr>
          <w:rFonts w:hint="eastAsia" w:hAnsi="宋体"/>
          <w:kern w:val="0"/>
          <w:sz w:val="24"/>
        </w:rPr>
        <w:t>（四）推免生候选人经公示无异议后，经学院推免生遴选工作小组组长签署推荐意见，报学校教务处审批。</w:t>
      </w:r>
    </w:p>
    <w:p>
      <w:pPr>
        <w:widowControl/>
        <w:spacing w:before="156" w:beforeLines="50" w:line="360" w:lineRule="auto"/>
        <w:jc w:val="left"/>
        <w:rPr>
          <w:b/>
          <w:bCs/>
          <w:kern w:val="0"/>
          <w:sz w:val="24"/>
        </w:rPr>
      </w:pPr>
      <w:r>
        <w:rPr>
          <w:rFonts w:hint="eastAsia" w:hAnsi="宋体"/>
          <w:b/>
          <w:bCs/>
          <w:kern w:val="0"/>
          <w:sz w:val="24"/>
        </w:rPr>
        <w:t>五、其他</w:t>
      </w:r>
    </w:p>
    <w:p>
      <w:pPr>
        <w:pStyle w:val="8"/>
        <w:spacing w:line="360" w:lineRule="auto"/>
        <w:ind w:firstLine="0" w:firstLineChars="0"/>
        <w:rPr>
          <w:rFonts w:hint="eastAsia" w:eastAsia="宋体"/>
          <w:sz w:val="24"/>
          <w:lang w:eastAsia="zh-CN"/>
        </w:rPr>
      </w:pPr>
      <w:r>
        <w:rPr>
          <w:rFonts w:hint="eastAsia"/>
          <w:sz w:val="24"/>
        </w:rPr>
        <w:t>（一）</w:t>
      </w:r>
      <w:r>
        <w:rPr>
          <w:sz w:val="24"/>
        </w:rPr>
        <w:t>“</w:t>
      </w:r>
      <w:r>
        <w:rPr>
          <w:rFonts w:hint="eastAsia" w:hAnsi="宋体"/>
          <w:sz w:val="24"/>
        </w:rPr>
        <w:t>本人申请</w:t>
      </w:r>
      <w:r>
        <w:rPr>
          <w:sz w:val="24"/>
        </w:rPr>
        <w:t>”</w:t>
      </w:r>
      <w:r>
        <w:rPr>
          <w:rFonts w:hint="eastAsia" w:hAnsi="宋体"/>
          <w:sz w:val="24"/>
        </w:rPr>
        <w:t>由学生本人书写或打印并签名</w:t>
      </w:r>
      <w:r>
        <w:rPr>
          <w:rFonts w:hint="eastAsia" w:hAnsi="宋体"/>
          <w:sz w:val="24"/>
          <w:lang w:eastAsia="zh-CN"/>
        </w:rPr>
        <w:t>。</w:t>
      </w:r>
    </w:p>
    <w:p>
      <w:pPr>
        <w:pStyle w:val="8"/>
        <w:spacing w:line="360" w:lineRule="auto"/>
        <w:ind w:firstLine="0" w:firstLineChars="0"/>
        <w:rPr>
          <w:rFonts w:hint="eastAsia" w:eastAsia="宋体"/>
          <w:sz w:val="24"/>
          <w:lang w:eastAsia="zh-CN"/>
        </w:rPr>
      </w:pPr>
      <w:r>
        <w:rPr>
          <w:rFonts w:hint="eastAsia" w:hAnsi="宋体"/>
          <w:sz w:val="24"/>
        </w:rPr>
        <w:t>（二）推免生学籍表由院教学秘书从教务系统中打印，经院分管教学副院长初审盖章后，报教务处审核盖章</w:t>
      </w:r>
      <w:r>
        <w:rPr>
          <w:rFonts w:hint="eastAsia" w:hAnsi="宋体"/>
          <w:sz w:val="24"/>
          <w:lang w:eastAsia="zh-CN"/>
        </w:rPr>
        <w:t>。</w:t>
      </w:r>
    </w:p>
    <w:p>
      <w:pPr>
        <w:pStyle w:val="8"/>
        <w:spacing w:line="360" w:lineRule="auto"/>
        <w:ind w:firstLine="0" w:firstLineChars="0"/>
        <w:rPr>
          <w:rFonts w:hint="eastAsia" w:eastAsia="宋体"/>
          <w:sz w:val="24"/>
          <w:lang w:eastAsia="zh-CN"/>
        </w:rPr>
      </w:pPr>
      <w:r>
        <w:rPr>
          <w:rFonts w:hint="eastAsia"/>
          <w:sz w:val="24"/>
        </w:rPr>
        <w:t>（三）</w:t>
      </w:r>
      <w:r>
        <w:rPr>
          <w:sz w:val="24"/>
        </w:rPr>
        <w:t>“</w:t>
      </w:r>
      <w:r>
        <w:rPr>
          <w:rFonts w:hint="eastAsia" w:hAnsi="宋体"/>
          <w:sz w:val="24"/>
        </w:rPr>
        <w:t>思想政治表现签定</w:t>
      </w:r>
      <w:r>
        <w:rPr>
          <w:sz w:val="24"/>
        </w:rPr>
        <w:t>”</w:t>
      </w:r>
      <w:r>
        <w:rPr>
          <w:rFonts w:hint="eastAsia" w:hAnsi="宋体"/>
          <w:sz w:val="24"/>
        </w:rPr>
        <w:t>由院直属党支部出具并加盖院直属党支部公章</w:t>
      </w:r>
      <w:r>
        <w:rPr>
          <w:rFonts w:hint="eastAsia" w:hAnsi="宋体"/>
          <w:sz w:val="24"/>
          <w:lang w:eastAsia="zh-CN"/>
        </w:rPr>
        <w:t>。</w:t>
      </w:r>
    </w:p>
    <w:p>
      <w:pPr>
        <w:pStyle w:val="8"/>
        <w:spacing w:line="360" w:lineRule="auto"/>
        <w:ind w:firstLine="0" w:firstLineChars="0"/>
        <w:rPr>
          <w:rFonts w:hAnsi="宋体"/>
          <w:sz w:val="24"/>
        </w:rPr>
      </w:pPr>
      <w:r>
        <w:rPr>
          <w:rFonts w:hint="eastAsia" w:ascii="仿宋_GB2312" w:hAnsi="宋体"/>
          <w:sz w:val="24"/>
        </w:rPr>
        <w:t>（四）为保证推免计划执行，已落实就读单位的推免生不得参加全国硕士研究生入学统一招生考试。</w:t>
      </w:r>
    </w:p>
    <w:p>
      <w:pPr>
        <w:pStyle w:val="8"/>
        <w:spacing w:line="360" w:lineRule="auto"/>
        <w:ind w:firstLine="0" w:firstLineChars="0"/>
        <w:rPr>
          <w:rFonts w:hAnsi="宋体"/>
          <w:sz w:val="24"/>
        </w:rPr>
      </w:pPr>
      <w:r>
        <w:rPr>
          <w:rFonts w:hint="eastAsia" w:hAnsi="宋体"/>
          <w:sz w:val="24"/>
        </w:rPr>
        <w:t>（五）研究生支教团的招募、选拔工作遵照学校研究生支教团相关文件执行。</w:t>
      </w:r>
    </w:p>
    <w:p>
      <w:pPr>
        <w:spacing w:before="156" w:beforeLines="50" w:line="360" w:lineRule="auto"/>
        <w:rPr>
          <w:sz w:val="24"/>
        </w:rPr>
      </w:pPr>
      <w:r>
        <w:rPr>
          <w:rFonts w:hint="eastAsia" w:hAnsi="宋体"/>
          <w:b/>
          <w:sz w:val="24"/>
        </w:rPr>
        <w:t>六、本细则未尽事宜由学院推免生遴选工作小组负责解释及认定</w:t>
      </w:r>
    </w:p>
    <w:p/>
    <w:p/>
    <w:p/>
    <w:p/>
    <w:p/>
    <w:p/>
    <w:p/>
    <w:p/>
    <w:p/>
    <w:p/>
    <w:p/>
    <w:p/>
    <w:p/>
    <w:p/>
    <w:p/>
    <w:p/>
    <w:p/>
    <w:p/>
    <w:p/>
    <w:p/>
    <w:p/>
    <w:p/>
    <w:p/>
    <w:p/>
    <w:p/>
    <w:p/>
    <w:p/>
    <w:p/>
    <w:p/>
    <w:p/>
    <w:p/>
    <w:p/>
    <w:p/>
    <w:p/>
    <w:p/>
    <w:p>
      <w:pPr>
        <w:tabs>
          <w:tab w:val="left" w:pos="7500"/>
        </w:tabs>
        <w:spacing w:line="360" w:lineRule="auto"/>
        <w:jc w:val="center"/>
        <w:rPr>
          <w:rFonts w:hint="eastAsia" w:hAnsi="宋体"/>
          <w:b/>
          <w:sz w:val="30"/>
          <w:szCs w:val="30"/>
        </w:rPr>
      </w:pPr>
    </w:p>
    <w:p>
      <w:pPr>
        <w:tabs>
          <w:tab w:val="left" w:pos="7500"/>
        </w:tabs>
        <w:spacing w:line="360" w:lineRule="auto"/>
        <w:jc w:val="center"/>
        <w:rPr>
          <w:rFonts w:hAnsi="宋体"/>
          <w:b/>
          <w:sz w:val="30"/>
          <w:szCs w:val="30"/>
        </w:rPr>
      </w:pPr>
      <w:r>
        <w:rPr>
          <w:rFonts w:hint="eastAsia" w:hAnsi="宋体"/>
          <w:b/>
          <w:sz w:val="30"/>
          <w:szCs w:val="30"/>
        </w:rPr>
        <w:t>互联网学院20</w:t>
      </w:r>
      <w:r>
        <w:rPr>
          <w:rFonts w:hAnsi="宋体"/>
          <w:b/>
          <w:sz w:val="30"/>
          <w:szCs w:val="30"/>
        </w:rPr>
        <w:t>2</w:t>
      </w:r>
      <w:r>
        <w:rPr>
          <w:rFonts w:hint="eastAsia" w:hAnsi="宋体"/>
          <w:b/>
          <w:sz w:val="30"/>
          <w:szCs w:val="30"/>
        </w:rPr>
        <w:t>0届通信工程（试验班）和物联网工程（试验班）</w:t>
      </w:r>
      <w:r>
        <w:rPr>
          <w:rFonts w:hint="eastAsia"/>
          <w:b/>
          <w:sz w:val="30"/>
          <w:szCs w:val="30"/>
        </w:rPr>
        <w:t>本科</w:t>
      </w:r>
      <w:r>
        <w:rPr>
          <w:rFonts w:hint="eastAsia" w:hAnsi="宋体"/>
          <w:b/>
          <w:sz w:val="30"/>
          <w:szCs w:val="30"/>
        </w:rPr>
        <w:t>毕业生推荐免试硕士研究生细则</w:t>
      </w:r>
    </w:p>
    <w:p>
      <w:pPr>
        <w:spacing w:line="360" w:lineRule="auto"/>
        <w:ind w:firstLine="480" w:firstLineChars="200"/>
        <w:rPr>
          <w:sz w:val="24"/>
        </w:rPr>
      </w:pPr>
      <w:r>
        <w:rPr>
          <w:rFonts w:hint="eastAsia"/>
          <w:sz w:val="24"/>
        </w:rPr>
        <w:t>根据《</w:t>
      </w:r>
      <w:r>
        <w:rPr>
          <w:rFonts w:hint="eastAsia" w:hAnsi="宋体"/>
          <w:bCs/>
          <w:kern w:val="0"/>
          <w:sz w:val="24"/>
        </w:rPr>
        <w:t>安徽大学推荐优秀应届本科毕业生免试攻读硕士学位研究生实施办法</w:t>
      </w:r>
      <w:r>
        <w:rPr>
          <w:rFonts w:hint="eastAsia" w:hAnsi="宋体"/>
          <w:sz w:val="24"/>
        </w:rPr>
        <w:t>》，针对互联网学院通信工程（试验班）和物联网工程（试验班）两个专业的具体情况，本着“公平、公开、公正</w:t>
      </w:r>
      <w:r>
        <w:rPr>
          <w:rFonts w:hint="eastAsia"/>
          <w:sz w:val="24"/>
        </w:rPr>
        <w:t>”</w:t>
      </w:r>
      <w:r>
        <w:rPr>
          <w:rFonts w:hint="eastAsia" w:hAnsi="宋体"/>
          <w:sz w:val="24"/>
        </w:rPr>
        <w:t>的原则，引导学生德、智、体、美、劳全面发展、自觉培养实践创新能力，使在学术科研、实践创新、综合素质等方面有突出表现的学生有更多的深造机会，现制定本细则。</w:t>
      </w:r>
    </w:p>
    <w:p>
      <w:pPr>
        <w:pStyle w:val="9"/>
        <w:numPr>
          <w:ilvl w:val="0"/>
          <w:numId w:val="1"/>
        </w:numPr>
        <w:spacing w:before="156" w:beforeLines="50" w:line="360" w:lineRule="auto"/>
        <w:ind w:left="482" w:hanging="482"/>
        <w:rPr>
          <w:rFonts w:ascii="Times New Roman" w:hAnsi="Times New Roman" w:cs="Times New Roman"/>
          <w:b/>
          <w:color w:val="auto"/>
        </w:rPr>
      </w:pPr>
      <w:r>
        <w:rPr>
          <w:rFonts w:hint="eastAsia" w:ascii="Times New Roman" w:hAnsi="宋体" w:cs="Times New Roman"/>
          <w:b/>
          <w:color w:val="auto"/>
        </w:rPr>
        <w:t>免试研究生的推荐条件</w:t>
      </w:r>
    </w:p>
    <w:p>
      <w:pPr>
        <w:pStyle w:val="9"/>
        <w:spacing w:line="360" w:lineRule="auto"/>
        <w:rPr>
          <w:rFonts w:ascii="Times New Roman" w:hAnsi="宋体" w:cs="Times New Roman"/>
          <w:color w:val="auto"/>
        </w:rPr>
      </w:pPr>
      <w:r>
        <w:rPr>
          <w:rFonts w:hint="eastAsia" w:ascii="Times New Roman" w:hAnsi="宋体" w:cs="Times New Roman"/>
          <w:color w:val="auto"/>
        </w:rPr>
        <w:t>（一）品德优良，遵纪守法，身心健康；</w:t>
      </w:r>
    </w:p>
    <w:p>
      <w:pPr>
        <w:pStyle w:val="9"/>
        <w:spacing w:line="360" w:lineRule="auto"/>
        <w:rPr>
          <w:rFonts w:ascii="Times New Roman" w:hAnsi="宋体" w:cs="Times New Roman"/>
          <w:color w:val="auto"/>
        </w:rPr>
      </w:pPr>
      <w:r>
        <w:rPr>
          <w:rFonts w:hint="eastAsia" w:ascii="Times New Roman" w:hAnsi="宋体" w:cs="Times New Roman"/>
          <w:color w:val="auto"/>
        </w:rPr>
        <w:t>（二）前三学年已获得的总学分不少于120学分，且根据教务处提供的前三学年课程首次成绩，平均学分绩点在本专业排名前40%；</w:t>
      </w:r>
    </w:p>
    <w:p>
      <w:pPr>
        <w:pStyle w:val="9"/>
        <w:spacing w:line="360" w:lineRule="auto"/>
        <w:rPr>
          <w:rFonts w:ascii="Times New Roman" w:hAnsi="Times New Roman" w:cs="Times New Roman"/>
          <w:color w:val="auto"/>
        </w:rPr>
      </w:pPr>
      <w:r>
        <w:rPr>
          <w:rFonts w:hint="eastAsia" w:ascii="Times New Roman" w:hAnsi="宋体" w:cs="Times New Roman"/>
          <w:color w:val="auto"/>
        </w:rPr>
        <w:t>（三）</w:t>
      </w:r>
      <w:r>
        <w:rPr>
          <w:rFonts w:hint="eastAsia" w:ascii="Times New Roman" w:hAnsi="Times New Roman" w:cs="Times New Roman"/>
          <w:color w:val="auto"/>
        </w:rPr>
        <w:t>“学科专业教育模块”课程第一次考试不及格门数等于</w:t>
      </w:r>
      <w:r>
        <w:rPr>
          <w:rFonts w:ascii="Times New Roman" w:hAnsi="Times New Roman" w:cs="Times New Roman"/>
          <w:color w:val="auto"/>
        </w:rPr>
        <w:t>0</w:t>
      </w:r>
      <w:r>
        <w:rPr>
          <w:rFonts w:hint="eastAsia" w:ascii="Times New Roman" w:hAnsi="Times New Roman" w:cs="Times New Roman"/>
          <w:color w:val="auto"/>
        </w:rPr>
        <w:t>。</w:t>
      </w:r>
    </w:p>
    <w:p>
      <w:pPr>
        <w:pStyle w:val="9"/>
        <w:spacing w:before="156" w:beforeLines="50" w:line="360" w:lineRule="auto"/>
        <w:rPr>
          <w:rFonts w:ascii="Times New Roman" w:hAnsi="Times New Roman" w:cs="Times New Roman"/>
          <w:b/>
          <w:color w:val="auto"/>
        </w:rPr>
      </w:pPr>
      <w:r>
        <w:rPr>
          <w:rFonts w:hint="eastAsia" w:ascii="Times New Roman" w:hAnsi="宋体" w:cs="Times New Roman"/>
          <w:b/>
          <w:color w:val="auto"/>
        </w:rPr>
        <w:t>二、推荐免试研究生综合排名计算公式：</w:t>
      </w:r>
    </w:p>
    <w:p>
      <w:pPr>
        <w:pStyle w:val="9"/>
        <w:spacing w:line="360" w:lineRule="auto"/>
        <w:rPr>
          <w:rFonts w:ascii="Times New Roman" w:hAnsi="Times New Roman" w:cs="Times New Roman"/>
          <w:color w:val="auto"/>
        </w:rPr>
      </w:pPr>
      <w:r>
        <w:rPr>
          <w:rFonts w:hint="eastAsia" w:ascii="Times New Roman" w:hAnsi="宋体" w:cs="Times New Roman"/>
          <w:color w:val="auto"/>
        </w:rPr>
        <w:t>（一）综合分＝学分加权平均分＋综合素质加分</w:t>
      </w:r>
      <w:r>
        <w:rPr>
          <w:rFonts w:ascii="Times New Roman" w:hAnsi="宋体" w:cs="Times New Roman"/>
          <w:color w:val="auto"/>
        </w:rPr>
        <w:t>*0.5</w:t>
      </w:r>
    </w:p>
    <w:p>
      <w:pPr>
        <w:pStyle w:val="9"/>
        <w:spacing w:line="360" w:lineRule="auto"/>
        <w:rPr>
          <w:rFonts w:ascii="Times New Roman" w:hAnsi="Times New Roman" w:cs="Times New Roman"/>
          <w:color w:val="auto"/>
        </w:rPr>
      </w:pPr>
      <w:r>
        <w:rPr>
          <w:rFonts w:hint="eastAsia" w:ascii="Times New Roman" w:hAnsi="宋体" w:cs="Times New Roman"/>
          <w:color w:val="auto"/>
        </w:rPr>
        <w:t>（二）学分加权平均分计算说明：</w:t>
      </w:r>
    </w:p>
    <w:p>
      <w:pPr>
        <w:pStyle w:val="9"/>
        <w:spacing w:line="360" w:lineRule="auto"/>
        <w:rPr>
          <w:rFonts w:ascii="Times New Roman" w:hAnsi="Times New Roman" w:cs="Times New Roman"/>
          <w:color w:val="auto"/>
        </w:rPr>
      </w:pPr>
      <w:r>
        <w:rPr>
          <w:rFonts w:hint="eastAsia" w:ascii="Times New Roman" w:hAnsi="宋体" w:cs="Times New Roman"/>
          <w:color w:val="auto"/>
        </w:rPr>
        <w:t>1.</w:t>
      </w:r>
      <w:bookmarkStart w:id="0" w:name="_GoBack"/>
      <w:bookmarkEnd w:id="0"/>
      <w:r>
        <w:rPr>
          <w:rFonts w:hint="eastAsia" w:ascii="Times New Roman" w:hAnsi="宋体" w:cs="Times New Roman"/>
          <w:color w:val="auto"/>
        </w:rPr>
        <w:t>参加评分的课程为除体育、军事课之外的前三学年所修课程；</w:t>
      </w:r>
    </w:p>
    <w:p>
      <w:pPr>
        <w:pStyle w:val="8"/>
        <w:autoSpaceDE w:val="0"/>
        <w:autoSpaceDN w:val="0"/>
        <w:adjustRightInd w:val="0"/>
        <w:spacing w:line="360" w:lineRule="auto"/>
        <w:ind w:firstLine="0" w:firstLineChars="0"/>
        <w:jc w:val="left"/>
        <w:rPr>
          <w:kern w:val="0"/>
          <w:sz w:val="24"/>
        </w:rPr>
      </w:pPr>
      <w:r>
        <w:rPr>
          <w:rFonts w:hint="eastAsia" w:hAnsi="宋体"/>
          <w:kern w:val="0"/>
          <w:sz w:val="24"/>
        </w:rPr>
        <w:t>2.五级计分制按教务处规定的折算办法折算；</w:t>
      </w:r>
    </w:p>
    <w:p>
      <w:pPr>
        <w:pStyle w:val="8"/>
        <w:autoSpaceDE w:val="0"/>
        <w:autoSpaceDN w:val="0"/>
        <w:adjustRightInd w:val="0"/>
        <w:spacing w:line="360" w:lineRule="auto"/>
        <w:ind w:firstLine="0" w:firstLineChars="0"/>
        <w:jc w:val="left"/>
        <w:rPr>
          <w:kern w:val="0"/>
          <w:sz w:val="24"/>
        </w:rPr>
      </w:pPr>
      <w:r>
        <w:rPr>
          <w:rFonts w:hint="eastAsia" w:hAnsi="宋体"/>
          <w:kern w:val="0"/>
          <w:sz w:val="24"/>
        </w:rPr>
        <w:t>3.课程成绩均按第一次考试成绩计算，凡因公而缓考的，按第一次实际成绩计算；凡因私、因病缓考者按学校相关规定计算；凡交换生在外交换学期的学习成绩均不参加计算；往年重修课程不参加计算；</w:t>
      </w:r>
    </w:p>
    <w:p>
      <w:pPr>
        <w:pStyle w:val="8"/>
        <w:autoSpaceDE w:val="0"/>
        <w:autoSpaceDN w:val="0"/>
        <w:adjustRightInd w:val="0"/>
        <w:spacing w:line="360" w:lineRule="auto"/>
        <w:ind w:firstLine="0" w:firstLineChars="0"/>
        <w:jc w:val="left"/>
        <w:rPr>
          <w:kern w:val="0"/>
          <w:sz w:val="24"/>
        </w:rPr>
      </w:pPr>
      <w:r>
        <w:rPr>
          <w:rFonts w:hint="eastAsia" w:hAnsi="宋体"/>
          <w:kern w:val="0"/>
          <w:sz w:val="24"/>
        </w:rPr>
        <w:t>4.凡通过转专业方式进入学院的学生，按照学校有关学分替代原则进行替代的课程计入成绩计算；未替代的课程不计入计算；</w:t>
      </w:r>
    </w:p>
    <w:p>
      <w:pPr>
        <w:pStyle w:val="8"/>
        <w:autoSpaceDE w:val="0"/>
        <w:autoSpaceDN w:val="0"/>
        <w:adjustRightInd w:val="0"/>
        <w:spacing w:line="360" w:lineRule="auto"/>
        <w:ind w:firstLine="0" w:firstLineChars="0"/>
        <w:jc w:val="left"/>
        <w:rPr>
          <w:kern w:val="0"/>
          <w:sz w:val="24"/>
        </w:rPr>
      </w:pPr>
      <w:r>
        <w:rPr>
          <w:rFonts w:hint="eastAsia"/>
          <w:kern w:val="0"/>
          <w:sz w:val="24"/>
        </w:rPr>
        <w:t>5.辅修专业课程不计入计算。</w:t>
      </w:r>
    </w:p>
    <w:p>
      <w:pPr>
        <w:autoSpaceDE w:val="0"/>
        <w:autoSpaceDN w:val="0"/>
        <w:adjustRightInd w:val="0"/>
        <w:spacing w:line="360" w:lineRule="auto"/>
        <w:jc w:val="left"/>
        <w:rPr>
          <w:kern w:val="0"/>
          <w:sz w:val="24"/>
        </w:rPr>
      </w:pPr>
      <w:r>
        <w:rPr>
          <w:rFonts w:hint="eastAsia" w:hAnsi="宋体"/>
          <w:kern w:val="0"/>
          <w:sz w:val="24"/>
        </w:rPr>
        <w:t>（二）综合素质加分（总分</w:t>
      </w:r>
      <w:r>
        <w:rPr>
          <w:rFonts w:hAnsi="宋体"/>
          <w:kern w:val="0"/>
          <w:sz w:val="24"/>
        </w:rPr>
        <w:t>10</w:t>
      </w:r>
      <w:r>
        <w:rPr>
          <w:rFonts w:hint="eastAsia" w:hAnsi="宋体"/>
          <w:kern w:val="0"/>
          <w:sz w:val="24"/>
        </w:rPr>
        <w:t>分，超过</w:t>
      </w:r>
      <w:r>
        <w:rPr>
          <w:rFonts w:hAnsi="宋体"/>
          <w:kern w:val="0"/>
          <w:sz w:val="24"/>
        </w:rPr>
        <w:t>10</w:t>
      </w:r>
      <w:r>
        <w:rPr>
          <w:rFonts w:hint="eastAsia" w:hAnsi="宋体"/>
          <w:kern w:val="0"/>
          <w:sz w:val="24"/>
        </w:rPr>
        <w:t>分的按</w:t>
      </w:r>
      <w:r>
        <w:rPr>
          <w:rFonts w:hAnsi="宋体"/>
          <w:kern w:val="0"/>
          <w:sz w:val="24"/>
        </w:rPr>
        <w:t>10</w:t>
      </w:r>
      <w:r>
        <w:rPr>
          <w:rFonts w:hint="eastAsia" w:hAnsi="宋体"/>
          <w:kern w:val="0"/>
          <w:sz w:val="24"/>
        </w:rPr>
        <w:t>分计算）：</w:t>
      </w:r>
    </w:p>
    <w:p>
      <w:pPr>
        <w:autoSpaceDE w:val="0"/>
        <w:autoSpaceDN w:val="0"/>
        <w:adjustRightInd w:val="0"/>
        <w:spacing w:line="360" w:lineRule="auto"/>
        <w:rPr>
          <w:bCs/>
          <w:kern w:val="0"/>
          <w:sz w:val="24"/>
        </w:rPr>
      </w:pPr>
      <w:r>
        <w:rPr>
          <w:bCs/>
          <w:kern w:val="0"/>
          <w:sz w:val="24"/>
        </w:rPr>
        <w:t>1.</w:t>
      </w:r>
      <w:r>
        <w:rPr>
          <w:rFonts w:hint="eastAsia" w:hAnsi="宋体"/>
          <w:bCs/>
          <w:kern w:val="0"/>
          <w:sz w:val="24"/>
        </w:rPr>
        <w:t>学科竞赛获奖</w:t>
      </w:r>
      <w:r>
        <w:rPr>
          <w:bCs/>
          <w:kern w:val="0"/>
          <w:sz w:val="24"/>
        </w:rPr>
        <w:t xml:space="preserve"> </w:t>
      </w:r>
    </w:p>
    <w:tbl>
      <w:tblPr>
        <w:tblStyle w:val="4"/>
        <w:tblW w:w="601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34"/>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4"/>
              </w:rPr>
            </w:pPr>
            <w:r>
              <w:rPr>
                <w:rFonts w:hint="eastAsia" w:hAnsi="宋体"/>
                <w:sz w:val="24"/>
              </w:rPr>
              <w:t>竞赛级别</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color w:val="auto"/>
              </w:rPr>
            </w:pPr>
            <w:r>
              <w:rPr>
                <w:rFonts w:ascii="Times New Roman" w:hAnsi="宋体" w:cs="Times New Roman"/>
                <w:color w:val="auto"/>
              </w:rPr>
              <w:t>国家级</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color w:val="auto"/>
              </w:rPr>
            </w:pPr>
            <w:r>
              <w:rPr>
                <w:rFonts w:hint="eastAsia" w:ascii="Times New Roman" w:hAnsi="宋体" w:cs="Times New Roman"/>
                <w:color w:val="auto"/>
              </w:rPr>
              <w:t>省级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4"/>
              </w:rPr>
            </w:pPr>
            <w:r>
              <w:rPr>
                <w:sz w:val="24"/>
              </w:rPr>
              <w:t>A</w:t>
            </w:r>
            <w:r>
              <w:rPr>
                <w:rFonts w:hAnsi="宋体"/>
                <w:sz w:val="24"/>
              </w:rPr>
              <w:t>级</w:t>
            </w:r>
            <w:r>
              <w:rPr>
                <w:rFonts w:hint="eastAsia" w:hAnsi="宋体"/>
                <w:sz w:val="24"/>
              </w:rPr>
              <w:t>竞赛加分分值</w:t>
            </w: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ascii="Times New Roman" w:hAnsi="Times New Roman" w:cs="Times New Roman"/>
                <w:color w:val="auto"/>
              </w:rPr>
              <w:t>B</w:t>
            </w:r>
            <w:r>
              <w:rPr>
                <w:rFonts w:ascii="Times New Roman" w:hAnsi="宋体" w:cs="Times New Roman"/>
                <w:color w:val="auto"/>
              </w:rPr>
              <w:t>级</w:t>
            </w:r>
            <w:r>
              <w:rPr>
                <w:rFonts w:hint="eastAsia" w:ascii="Times New Roman" w:hAnsi="宋体" w:cs="Times New Roman"/>
                <w:color w:val="auto"/>
              </w:rPr>
              <w:t>竞赛加分分值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tcBorders>
              <w:top w:val="single" w:color="auto" w:sz="4" w:space="0"/>
              <w:left w:val="single" w:color="auto" w:sz="4" w:space="0"/>
              <w:bottom w:val="single" w:color="auto" w:sz="4" w:space="0"/>
              <w:right w:val="single" w:color="auto" w:sz="4" w:space="0"/>
            </w:tcBorders>
            <w:textDirection w:val="tbRlV"/>
            <w:vAlign w:val="center"/>
          </w:tcPr>
          <w:p>
            <w:pPr>
              <w:pStyle w:val="9"/>
              <w:spacing w:line="360" w:lineRule="auto"/>
              <w:jc w:val="center"/>
              <w:rPr>
                <w:rFonts w:ascii="Times New Roman" w:hAnsi="Times New Roman" w:cs="Times New Roman"/>
                <w:color w:val="auto"/>
              </w:rPr>
            </w:pPr>
            <w:r>
              <w:rPr>
                <w:rFonts w:hint="eastAsia" w:ascii="Times New Roman" w:hAnsi="宋体" w:cs="Times New Roman"/>
                <w:color w:val="auto"/>
              </w:rPr>
              <w:t>获奖情况</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hint="eastAsia" w:ascii="Times New Roman" w:hAnsi="宋体" w:cs="Times New Roman"/>
                <w:color w:val="auto"/>
              </w:rPr>
              <w:t>特等奖</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ascii="Times New Roman" w:hAnsi="Times New Roman" w:cs="Times New Roman"/>
                <w:color w:val="auto"/>
              </w:rPr>
              <w:t>5.0</w:t>
            </w: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ascii="Times New Roman" w:hAnsi="Times New Roman" w:cs="Times New Roman"/>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hint="eastAsia" w:ascii="Times New Roman" w:hAnsi="宋体" w:cs="Times New Roman"/>
                <w:color w:val="auto"/>
              </w:rPr>
              <w:t>一等奖</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ascii="Times New Roman" w:hAnsi="Times New Roman" w:cs="Times New Roman"/>
                <w:color w:val="auto"/>
              </w:rPr>
              <w:t>4.0</w:t>
            </w: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ascii="Times New Roman" w:hAnsi="Times New Roman"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hint="eastAsia" w:ascii="Times New Roman" w:hAnsi="宋体" w:cs="Times New Roman"/>
                <w:color w:val="auto"/>
              </w:rPr>
              <w:t>二等奖</w:t>
            </w: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ascii="Times New Roman" w:hAnsi="Times New Roman" w:cs="Times New Roman"/>
                <w:color w:val="auto"/>
              </w:rPr>
              <w:t>3.0</w:t>
            </w: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ascii="Times New Roman" w:hAnsi="Times New Roman" w:cs="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hint="eastAsia" w:ascii="Times New Roman" w:hAnsi="宋体" w:cs="Times New Roman"/>
                <w:color w:val="auto"/>
              </w:rPr>
              <w:t>三等奖</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hint="eastAsia" w:ascii="Times New Roman" w:hAnsi="宋体" w:cs="Times New Roman"/>
                <w:color w:val="auto"/>
              </w:rPr>
              <w:t>一等奖</w:t>
            </w: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ascii="Times New Roman" w:hAnsi="Times New Roman" w:cs="Times New Roman"/>
                <w:color w:val="auto"/>
              </w:rPr>
              <w:t>2.0</w:t>
            </w: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ascii="Times New Roman" w:hAnsi="Times New Roman" w:cs="Times New Roman"/>
                <w:color w:val="auto"/>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4"/>
              </w:rPr>
            </w:pPr>
            <w:r>
              <w:rPr>
                <w:rFonts w:hint="eastAsia" w:hAnsi="宋体"/>
                <w:sz w:val="24"/>
              </w:rPr>
              <w:t>二等奖</w:t>
            </w: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r>
              <w:rPr>
                <w:rFonts w:ascii="Times New Roman" w:hAnsi="Times New Roman" w:cs="Times New Roman"/>
                <w:color w:val="auto"/>
              </w:rPr>
              <w:t>1.0</w:t>
            </w:r>
          </w:p>
        </w:tc>
        <w:tc>
          <w:tcPr>
            <w:tcW w:w="1276" w:type="dxa"/>
            <w:tcBorders>
              <w:top w:val="single" w:color="auto" w:sz="4" w:space="0"/>
              <w:left w:val="single" w:color="auto" w:sz="4" w:space="0"/>
              <w:bottom w:val="single" w:color="auto" w:sz="4" w:space="0"/>
              <w:right w:val="single" w:color="auto" w:sz="4" w:space="0"/>
            </w:tcBorders>
            <w:vAlign w:val="center"/>
          </w:tcPr>
          <w:p>
            <w:pPr>
              <w:pStyle w:val="9"/>
              <w:spacing w:line="360" w:lineRule="auto"/>
              <w:jc w:val="center"/>
              <w:rPr>
                <w:rFonts w:ascii="Times New Roman" w:hAnsi="Times New Roman" w:cs="Times New Roman"/>
                <w:color w:val="auto"/>
              </w:rPr>
            </w:pPr>
          </w:p>
        </w:tc>
      </w:tr>
    </w:tbl>
    <w:p>
      <w:pPr>
        <w:autoSpaceDE w:val="0"/>
        <w:autoSpaceDN w:val="0"/>
        <w:adjustRightInd w:val="0"/>
        <w:spacing w:line="360" w:lineRule="auto"/>
        <w:jc w:val="left"/>
        <w:rPr>
          <w:kern w:val="0"/>
          <w:sz w:val="24"/>
        </w:rPr>
      </w:pPr>
      <w:r>
        <w:rPr>
          <w:rFonts w:hint="eastAsia"/>
          <w:kern w:val="0"/>
          <w:sz w:val="24"/>
        </w:rPr>
        <w:t>说明：</w:t>
      </w:r>
    </w:p>
    <w:p>
      <w:pPr>
        <w:pStyle w:val="8"/>
        <w:numPr>
          <w:ilvl w:val="0"/>
          <w:numId w:val="0"/>
        </w:numPr>
        <w:autoSpaceDE w:val="0"/>
        <w:autoSpaceDN w:val="0"/>
        <w:adjustRightInd w:val="0"/>
        <w:spacing w:line="360" w:lineRule="auto"/>
        <w:ind w:leftChars="0"/>
        <w:rPr>
          <w:kern w:val="0"/>
          <w:sz w:val="24"/>
        </w:rPr>
      </w:pPr>
      <w:r>
        <w:rPr>
          <w:rFonts w:hint="eastAsia"/>
          <w:kern w:val="0"/>
          <w:sz w:val="24"/>
          <w:lang w:eastAsia="zh-CN"/>
        </w:rPr>
        <w:t>（</w:t>
      </w:r>
      <w:r>
        <w:rPr>
          <w:rFonts w:hint="eastAsia"/>
          <w:kern w:val="0"/>
          <w:sz w:val="24"/>
          <w:lang w:val="en-US" w:eastAsia="zh-CN"/>
        </w:rPr>
        <w:t>1</w:t>
      </w:r>
      <w:r>
        <w:rPr>
          <w:rFonts w:hint="eastAsia"/>
          <w:kern w:val="0"/>
          <w:sz w:val="24"/>
          <w:lang w:eastAsia="zh-CN"/>
        </w:rPr>
        <w:t>）</w:t>
      </w:r>
      <w:r>
        <w:rPr>
          <w:rFonts w:hint="eastAsia"/>
          <w:kern w:val="0"/>
          <w:sz w:val="24"/>
        </w:rPr>
        <w:t>专业类竞赛项目及其等级认定以当年《安徽大学互联网学院专业类学术科技竞赛级别认定表》为准，未列在该表中的专业类竞赛项目一律不予认定计分；该表中列出的国家级竞赛如有分区赛则认定为省级；</w:t>
      </w:r>
    </w:p>
    <w:p>
      <w:pPr>
        <w:pStyle w:val="8"/>
        <w:numPr>
          <w:ilvl w:val="0"/>
          <w:numId w:val="0"/>
        </w:numPr>
        <w:autoSpaceDE w:val="0"/>
        <w:autoSpaceDN w:val="0"/>
        <w:adjustRightInd w:val="0"/>
        <w:spacing w:line="360" w:lineRule="auto"/>
        <w:ind w:leftChars="0"/>
        <w:rPr>
          <w:kern w:val="0"/>
          <w:sz w:val="24"/>
        </w:rPr>
      </w:pPr>
      <w:r>
        <w:rPr>
          <w:rFonts w:hint="eastAsia"/>
          <w:kern w:val="0"/>
          <w:sz w:val="24"/>
          <w:lang w:eastAsia="zh-CN"/>
        </w:rPr>
        <w:t>（</w:t>
      </w:r>
      <w:r>
        <w:rPr>
          <w:rFonts w:hint="eastAsia"/>
          <w:kern w:val="0"/>
          <w:sz w:val="24"/>
          <w:lang w:val="en-US" w:eastAsia="zh-CN"/>
        </w:rPr>
        <w:t>2</w:t>
      </w:r>
      <w:r>
        <w:rPr>
          <w:rFonts w:hint="eastAsia"/>
          <w:kern w:val="0"/>
          <w:sz w:val="24"/>
          <w:lang w:eastAsia="zh-CN"/>
        </w:rPr>
        <w:t>）</w:t>
      </w:r>
      <w:r>
        <w:rPr>
          <w:rFonts w:hint="eastAsia"/>
          <w:kern w:val="0"/>
          <w:sz w:val="24"/>
        </w:rPr>
        <w:t>省级比赛加分限项1项；</w:t>
      </w:r>
    </w:p>
    <w:p>
      <w:pPr>
        <w:pStyle w:val="8"/>
        <w:numPr>
          <w:ilvl w:val="0"/>
          <w:numId w:val="0"/>
        </w:numPr>
        <w:autoSpaceDE w:val="0"/>
        <w:autoSpaceDN w:val="0"/>
        <w:adjustRightInd w:val="0"/>
        <w:spacing w:line="360" w:lineRule="auto"/>
        <w:ind w:leftChars="0"/>
        <w:rPr>
          <w:kern w:val="0"/>
          <w:sz w:val="24"/>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对于专业类竞赛，同一年份每项竞赛取最高奖励分，不同竞赛加分可以累加，不同年份的竞赛加分可以累加；全国航模锦标赛所有年份仅取最高奖励分；全国无线电测向锦标赛所有年份仅取最高奖励分；“毕昇杯”全国电子创新设计竞赛、全国大学生物联网设计竞赛（TI杯）和中国大学生iCAN国际创新创业大赛仅取其中一项大赛的所有年份最高奖励分计入；</w:t>
      </w:r>
    </w:p>
    <w:p>
      <w:pPr>
        <w:pStyle w:val="8"/>
        <w:numPr>
          <w:ilvl w:val="0"/>
          <w:numId w:val="0"/>
        </w:numPr>
        <w:autoSpaceDE w:val="0"/>
        <w:autoSpaceDN w:val="0"/>
        <w:adjustRightInd w:val="0"/>
        <w:spacing w:line="360" w:lineRule="auto"/>
        <w:ind w:leftChars="0"/>
        <w:rPr>
          <w:kern w:val="0"/>
          <w:sz w:val="24"/>
        </w:rPr>
      </w:pPr>
      <w:r>
        <w:rPr>
          <w:rFonts w:hint="eastAsia"/>
          <w:kern w:val="0"/>
          <w:sz w:val="24"/>
          <w:lang w:eastAsia="zh-CN"/>
        </w:rPr>
        <w:t>（</w:t>
      </w:r>
      <w:r>
        <w:rPr>
          <w:rFonts w:hint="eastAsia"/>
          <w:kern w:val="0"/>
          <w:sz w:val="24"/>
          <w:lang w:val="en-US" w:eastAsia="zh-CN"/>
        </w:rPr>
        <w:t>4</w:t>
      </w:r>
      <w:r>
        <w:rPr>
          <w:rFonts w:hint="eastAsia"/>
          <w:kern w:val="0"/>
          <w:sz w:val="24"/>
          <w:lang w:eastAsia="zh-CN"/>
        </w:rPr>
        <w:t>）</w:t>
      </w:r>
      <w:r>
        <w:rPr>
          <w:rFonts w:hint="eastAsia"/>
          <w:kern w:val="0"/>
          <w:sz w:val="24"/>
        </w:rPr>
        <w:t>非专业类竞赛及其等级认定参照《安徽大学国家级学术科技类竞赛级别认定汇总表》；非专业类竞赛限项</w:t>
      </w:r>
      <w:r>
        <w:rPr>
          <w:kern w:val="0"/>
          <w:sz w:val="24"/>
        </w:rPr>
        <w:t>1</w:t>
      </w:r>
      <w:r>
        <w:rPr>
          <w:rFonts w:hint="eastAsia"/>
          <w:kern w:val="0"/>
          <w:sz w:val="24"/>
        </w:rPr>
        <w:t>项，同一学科类别竞赛仅取最高奖励分；非专业类竞赛分值</w:t>
      </w:r>
      <w:r>
        <w:rPr>
          <w:kern w:val="0"/>
          <w:sz w:val="24"/>
        </w:rPr>
        <w:t>*0.5</w:t>
      </w:r>
      <w:r>
        <w:rPr>
          <w:rFonts w:hint="eastAsia"/>
          <w:kern w:val="0"/>
          <w:sz w:val="24"/>
        </w:rPr>
        <w:t>计入；</w:t>
      </w:r>
    </w:p>
    <w:p>
      <w:pPr>
        <w:pStyle w:val="8"/>
        <w:numPr>
          <w:ilvl w:val="0"/>
          <w:numId w:val="0"/>
        </w:numPr>
        <w:autoSpaceDE w:val="0"/>
        <w:autoSpaceDN w:val="0"/>
        <w:adjustRightInd w:val="0"/>
        <w:spacing w:line="360" w:lineRule="auto"/>
        <w:ind w:leftChars="0"/>
        <w:rPr>
          <w:kern w:val="0"/>
          <w:sz w:val="24"/>
        </w:rPr>
      </w:pPr>
      <w:r>
        <w:rPr>
          <w:rFonts w:hint="eastAsia"/>
          <w:kern w:val="0"/>
          <w:sz w:val="24"/>
          <w:lang w:eastAsia="zh-CN"/>
        </w:rPr>
        <w:t>（</w:t>
      </w:r>
      <w:r>
        <w:rPr>
          <w:rFonts w:hint="eastAsia"/>
          <w:kern w:val="0"/>
          <w:sz w:val="24"/>
          <w:lang w:val="en-US" w:eastAsia="zh-CN"/>
        </w:rPr>
        <w:t>5</w:t>
      </w:r>
      <w:r>
        <w:rPr>
          <w:rFonts w:hint="eastAsia"/>
          <w:kern w:val="0"/>
          <w:sz w:val="24"/>
          <w:lang w:eastAsia="zh-CN"/>
        </w:rPr>
        <w:t>）</w:t>
      </w:r>
      <w:r>
        <w:rPr>
          <w:rFonts w:hint="eastAsia"/>
          <w:kern w:val="0"/>
          <w:sz w:val="24"/>
        </w:rPr>
        <w:t>竞赛合作者超过三人只按前三人计算成绩，加分截止时间为学校推荐免试研究生文件下发之日；</w:t>
      </w:r>
    </w:p>
    <w:p>
      <w:pPr>
        <w:pStyle w:val="8"/>
        <w:numPr>
          <w:ilvl w:val="0"/>
          <w:numId w:val="0"/>
        </w:numPr>
        <w:autoSpaceDE w:val="0"/>
        <w:autoSpaceDN w:val="0"/>
        <w:adjustRightInd w:val="0"/>
        <w:spacing w:line="360" w:lineRule="auto"/>
        <w:ind w:leftChars="0"/>
        <w:rPr>
          <w:kern w:val="0"/>
          <w:sz w:val="24"/>
        </w:rPr>
      </w:pPr>
      <w:r>
        <w:rPr>
          <w:rFonts w:hint="eastAsia"/>
          <w:kern w:val="0"/>
          <w:sz w:val="24"/>
          <w:lang w:eastAsia="zh-CN"/>
        </w:rPr>
        <w:t>（</w:t>
      </w:r>
      <w:r>
        <w:rPr>
          <w:rFonts w:hint="eastAsia"/>
          <w:kern w:val="0"/>
          <w:sz w:val="24"/>
          <w:lang w:val="en-US" w:eastAsia="zh-CN"/>
        </w:rPr>
        <w:t>6</w:t>
      </w:r>
      <w:r>
        <w:rPr>
          <w:rFonts w:hint="eastAsia"/>
          <w:kern w:val="0"/>
          <w:sz w:val="24"/>
          <w:lang w:eastAsia="zh-CN"/>
        </w:rPr>
        <w:t>）</w:t>
      </w:r>
      <w:r>
        <w:rPr>
          <w:rFonts w:hint="eastAsia"/>
          <w:kern w:val="0"/>
          <w:sz w:val="24"/>
        </w:rPr>
        <w:t>获得“挑战杯”课外学术科技作品大赛国家级奖项加分为国家A级竞赛相应分值的</w:t>
      </w:r>
      <w:r>
        <w:rPr>
          <w:kern w:val="0"/>
          <w:sz w:val="24"/>
        </w:rPr>
        <w:t>2</w:t>
      </w:r>
      <w:r>
        <w:rPr>
          <w:rFonts w:hint="eastAsia"/>
          <w:kern w:val="0"/>
          <w:sz w:val="24"/>
        </w:rPr>
        <w:t>倍；获得全国大学生电子设计竞赛一等及以上奖项加分为国家A级竞赛相应分值的</w:t>
      </w:r>
      <w:r>
        <w:rPr>
          <w:kern w:val="0"/>
          <w:sz w:val="24"/>
        </w:rPr>
        <w:t>2</w:t>
      </w:r>
      <w:r>
        <w:rPr>
          <w:rFonts w:hint="eastAsia"/>
          <w:kern w:val="0"/>
          <w:sz w:val="24"/>
        </w:rPr>
        <w:t>倍；获得“创青春”大学生创业计划大赛国家级奖项加分为国家B级竞赛相应分值的2倍；</w:t>
      </w:r>
    </w:p>
    <w:p>
      <w:pPr>
        <w:pStyle w:val="8"/>
        <w:numPr>
          <w:ilvl w:val="0"/>
          <w:numId w:val="0"/>
        </w:numPr>
        <w:autoSpaceDE w:val="0"/>
        <w:autoSpaceDN w:val="0"/>
        <w:adjustRightInd w:val="0"/>
        <w:spacing w:line="360" w:lineRule="auto"/>
        <w:ind w:leftChars="0"/>
        <w:rPr>
          <w:kern w:val="0"/>
          <w:sz w:val="24"/>
        </w:rPr>
      </w:pPr>
      <w:r>
        <w:rPr>
          <w:rFonts w:hint="eastAsia"/>
          <w:kern w:val="0"/>
          <w:sz w:val="24"/>
          <w:lang w:eastAsia="zh-CN"/>
        </w:rPr>
        <w:t>（</w:t>
      </w:r>
      <w:r>
        <w:rPr>
          <w:rFonts w:hint="eastAsia"/>
          <w:kern w:val="0"/>
          <w:sz w:val="24"/>
          <w:lang w:val="en-US" w:eastAsia="zh-CN"/>
        </w:rPr>
        <w:t>7</w:t>
      </w:r>
      <w:r>
        <w:rPr>
          <w:rFonts w:hint="eastAsia"/>
          <w:kern w:val="0"/>
          <w:sz w:val="24"/>
          <w:lang w:eastAsia="zh-CN"/>
        </w:rPr>
        <w:t>）</w:t>
      </w:r>
      <w:r>
        <w:rPr>
          <w:rFonts w:hint="eastAsia"/>
          <w:kern w:val="0"/>
          <w:sz w:val="24"/>
        </w:rPr>
        <w:t>对于只设三个获奖等级的国家级竞赛依次按照一等奖、二等奖和三等奖计分；</w:t>
      </w:r>
      <w:r>
        <w:rPr>
          <w:kern w:val="0"/>
          <w:sz w:val="24"/>
        </w:rPr>
        <w:t>省级竞赛仅取前两个获奖等级按照一等奖和二等奖加分</w:t>
      </w:r>
      <w:r>
        <w:rPr>
          <w:rFonts w:hint="eastAsia"/>
          <w:kern w:val="0"/>
          <w:sz w:val="24"/>
        </w:rPr>
        <w:t>；国际大学生数学建模竞赛</w:t>
      </w:r>
      <w:r>
        <w:rPr>
          <w:kern w:val="0"/>
          <w:sz w:val="24"/>
        </w:rPr>
        <w:t>O</w:t>
      </w:r>
      <w:r>
        <w:rPr>
          <w:rFonts w:hint="eastAsia"/>
          <w:kern w:val="0"/>
          <w:sz w:val="24"/>
        </w:rPr>
        <w:t>、</w:t>
      </w:r>
      <w:r>
        <w:rPr>
          <w:kern w:val="0"/>
          <w:sz w:val="24"/>
        </w:rPr>
        <w:t>M</w:t>
      </w:r>
      <w:r>
        <w:rPr>
          <w:rFonts w:hint="eastAsia"/>
          <w:kern w:val="0"/>
          <w:sz w:val="24"/>
        </w:rPr>
        <w:t>、</w:t>
      </w:r>
      <w:r>
        <w:rPr>
          <w:kern w:val="0"/>
          <w:sz w:val="24"/>
        </w:rPr>
        <w:t>H</w:t>
      </w:r>
      <w:r>
        <w:rPr>
          <w:rFonts w:hint="eastAsia"/>
          <w:kern w:val="0"/>
          <w:sz w:val="24"/>
        </w:rPr>
        <w:t>奖分别</w:t>
      </w:r>
      <w:r>
        <w:rPr>
          <w:kern w:val="0"/>
          <w:sz w:val="24"/>
        </w:rPr>
        <w:t>按照一等奖</w:t>
      </w:r>
      <w:r>
        <w:rPr>
          <w:rFonts w:hint="eastAsia"/>
          <w:kern w:val="0"/>
          <w:sz w:val="24"/>
        </w:rPr>
        <w:t>、</w:t>
      </w:r>
      <w:r>
        <w:rPr>
          <w:kern w:val="0"/>
          <w:sz w:val="24"/>
        </w:rPr>
        <w:t>二等奖和三等奖计分</w:t>
      </w:r>
      <w:r>
        <w:rPr>
          <w:rFonts w:hint="eastAsia"/>
          <w:kern w:val="0"/>
          <w:sz w:val="24"/>
        </w:rPr>
        <w:t>；</w:t>
      </w:r>
    </w:p>
    <w:p>
      <w:pPr>
        <w:autoSpaceDE w:val="0"/>
        <w:autoSpaceDN w:val="0"/>
        <w:adjustRightInd w:val="0"/>
        <w:spacing w:line="360" w:lineRule="auto"/>
        <w:jc w:val="left"/>
        <w:rPr>
          <w:bCs/>
          <w:kern w:val="0"/>
          <w:sz w:val="24"/>
        </w:rPr>
      </w:pPr>
      <w:r>
        <w:rPr>
          <w:bCs/>
          <w:kern w:val="0"/>
          <w:sz w:val="24"/>
        </w:rPr>
        <w:t>2</w:t>
      </w:r>
      <w:r>
        <w:rPr>
          <w:rFonts w:hint="eastAsia" w:hAnsi="宋体"/>
          <w:bCs/>
          <w:kern w:val="0"/>
          <w:sz w:val="24"/>
        </w:rPr>
        <w:t>．发表学术论文及申请专利</w:t>
      </w:r>
      <w:r>
        <w:rPr>
          <w:bCs/>
          <w:kern w:val="0"/>
          <w:sz w:val="24"/>
        </w:rPr>
        <w:t xml:space="preserve"> </w:t>
      </w:r>
    </w:p>
    <w:p>
      <w:pPr>
        <w:pStyle w:val="8"/>
        <w:numPr>
          <w:ilvl w:val="0"/>
          <w:numId w:val="0"/>
        </w:numPr>
        <w:autoSpaceDE w:val="0"/>
        <w:autoSpaceDN w:val="0"/>
        <w:adjustRightInd w:val="0"/>
        <w:spacing w:line="360" w:lineRule="auto"/>
        <w:ind w:leftChars="0"/>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以第一作者在</w:t>
      </w:r>
      <w:r>
        <w:rPr>
          <w:sz w:val="24"/>
        </w:rPr>
        <w:t>CSCD</w:t>
      </w:r>
      <w:r>
        <w:rPr>
          <w:rFonts w:hint="eastAsia" w:hAnsi="宋体"/>
          <w:sz w:val="24"/>
        </w:rPr>
        <w:t>核心</w:t>
      </w:r>
      <w:r>
        <w:rPr>
          <w:rFonts w:hint="eastAsia"/>
          <w:sz w:val="24"/>
        </w:rPr>
        <w:t>以上刊物上发表过与本专业有关的学术论文，可获得相应的论文加分。加分规则为：</w:t>
      </w:r>
    </w:p>
    <w:tbl>
      <w:tblPr>
        <w:tblStyle w:val="4"/>
        <w:tblW w:w="6300" w:type="dxa"/>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54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hint="eastAsia" w:ascii="Times New Roman" w:hAnsi="宋体" w:cs="Times New Roman"/>
                <w:color w:val="auto"/>
              </w:rPr>
              <w:t>序号</w:t>
            </w:r>
            <w:r>
              <w:rPr>
                <w:rFonts w:ascii="Times New Roman" w:hAnsi="Times New Roman" w:cs="Times New Roman"/>
                <w:color w:val="auto"/>
              </w:rPr>
              <w:t xml:space="preserve"> </w:t>
            </w:r>
          </w:p>
        </w:tc>
        <w:tc>
          <w:tcPr>
            <w:tcW w:w="3545"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hint="eastAsia" w:ascii="Times New Roman" w:hAnsi="宋体" w:cs="Times New Roman"/>
                <w:color w:val="auto"/>
              </w:rPr>
              <w:t>学术论文级别</w:t>
            </w:r>
            <w:r>
              <w:rPr>
                <w:rFonts w:ascii="Times New Roman" w:hAnsi="Times New Roman" w:cs="Times New Roman"/>
                <w:color w:val="auto"/>
              </w:rPr>
              <w:t xml:space="preserve"> </w:t>
            </w:r>
          </w:p>
        </w:tc>
        <w:tc>
          <w:tcPr>
            <w:tcW w:w="1855"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hint="eastAsia" w:ascii="Times New Roman" w:hAnsi="宋体" w:cs="Times New Roman"/>
                <w:color w:val="auto"/>
              </w:rPr>
              <w:t>加分</w:t>
            </w:r>
            <w:r>
              <w:rPr>
                <w:rFonts w:ascii="Times New Roman" w:hAnsi="Times New Roman"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 xml:space="preserve">1 </w:t>
            </w:r>
          </w:p>
        </w:tc>
        <w:tc>
          <w:tcPr>
            <w:tcW w:w="3545"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JCR</w:t>
            </w:r>
            <w:r>
              <w:rPr>
                <w:rFonts w:hint="eastAsia" w:ascii="Times New Roman" w:hAnsi="宋体" w:cs="Times New Roman"/>
                <w:color w:val="auto"/>
              </w:rPr>
              <w:t>一区</w:t>
            </w:r>
            <w:r>
              <w:rPr>
                <w:rFonts w:ascii="Times New Roman" w:hAnsi="Times New Roman" w:cs="Times New Roman"/>
                <w:color w:val="auto"/>
              </w:rPr>
              <w:t xml:space="preserve"> </w:t>
            </w:r>
          </w:p>
        </w:tc>
        <w:tc>
          <w:tcPr>
            <w:tcW w:w="1855"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2</w:t>
            </w:r>
          </w:p>
        </w:tc>
        <w:tc>
          <w:tcPr>
            <w:tcW w:w="3545"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JCR</w:t>
            </w:r>
            <w:r>
              <w:rPr>
                <w:rFonts w:hint="eastAsia" w:ascii="Times New Roman" w:hAnsi="宋体" w:cs="Times New Roman"/>
                <w:color w:val="auto"/>
              </w:rPr>
              <w:t>二区</w:t>
            </w:r>
          </w:p>
        </w:tc>
        <w:tc>
          <w:tcPr>
            <w:tcW w:w="1855"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 xml:space="preserve">3 </w:t>
            </w:r>
          </w:p>
        </w:tc>
        <w:tc>
          <w:tcPr>
            <w:tcW w:w="3545"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SCI</w:t>
            </w:r>
            <w:r>
              <w:rPr>
                <w:rFonts w:hint="eastAsia" w:ascii="Times New Roman" w:hAnsi="宋体" w:cs="Times New Roman"/>
                <w:color w:val="auto"/>
              </w:rPr>
              <w:t>、</w:t>
            </w:r>
            <w:r>
              <w:rPr>
                <w:rFonts w:ascii="Times New Roman" w:hAnsi="Times New Roman" w:cs="Times New Roman"/>
                <w:color w:val="auto"/>
              </w:rPr>
              <w:t>EI</w:t>
            </w:r>
            <w:r>
              <w:rPr>
                <w:rFonts w:hint="eastAsia" w:ascii="Times New Roman" w:hAnsi="宋体" w:cs="Times New Roman"/>
                <w:color w:val="auto"/>
              </w:rPr>
              <w:t>收录</w:t>
            </w:r>
            <w:r>
              <w:rPr>
                <w:rFonts w:ascii="Times New Roman" w:hAnsi="Times New Roman" w:cs="Times New Roman"/>
                <w:color w:val="auto"/>
              </w:rPr>
              <w:t xml:space="preserve"> </w:t>
            </w:r>
          </w:p>
        </w:tc>
        <w:tc>
          <w:tcPr>
            <w:tcW w:w="1855"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 xml:space="preserve">4 </w:t>
            </w:r>
          </w:p>
        </w:tc>
        <w:tc>
          <w:tcPr>
            <w:tcW w:w="3545"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CSCD</w:t>
            </w:r>
            <w:r>
              <w:rPr>
                <w:rFonts w:hint="eastAsia" w:ascii="Times New Roman" w:hAnsi="宋体" w:cs="Times New Roman"/>
                <w:color w:val="auto"/>
              </w:rPr>
              <w:t>核心版</w:t>
            </w:r>
            <w:r>
              <w:rPr>
                <w:rFonts w:ascii="Times New Roman" w:hAnsi="Times New Roman" w:cs="Times New Roman"/>
                <w:color w:val="auto"/>
              </w:rPr>
              <w:t xml:space="preserve"> </w:t>
            </w:r>
          </w:p>
        </w:tc>
        <w:tc>
          <w:tcPr>
            <w:tcW w:w="1855" w:type="dxa"/>
            <w:tcBorders>
              <w:top w:val="single" w:color="auto" w:sz="4" w:space="0"/>
              <w:left w:val="single" w:color="auto" w:sz="4" w:space="0"/>
              <w:bottom w:val="single" w:color="auto" w:sz="4" w:space="0"/>
              <w:right w:val="single" w:color="auto" w:sz="4" w:space="0"/>
            </w:tcBorders>
          </w:tcPr>
          <w:p>
            <w:pPr>
              <w:pStyle w:val="9"/>
              <w:spacing w:line="360" w:lineRule="auto"/>
              <w:jc w:val="both"/>
              <w:rPr>
                <w:rFonts w:ascii="Times New Roman" w:hAnsi="Times New Roman" w:cs="Times New Roman"/>
                <w:color w:val="auto"/>
              </w:rPr>
            </w:pPr>
            <w:r>
              <w:rPr>
                <w:rFonts w:ascii="Times New Roman" w:hAnsi="Times New Roman" w:cs="Times New Roman"/>
                <w:color w:val="auto"/>
              </w:rPr>
              <w:t xml:space="preserve">2.0 </w:t>
            </w:r>
          </w:p>
        </w:tc>
      </w:tr>
    </w:tbl>
    <w:p>
      <w:pPr>
        <w:pStyle w:val="8"/>
        <w:numPr>
          <w:ilvl w:val="0"/>
          <w:numId w:val="0"/>
        </w:numPr>
        <w:autoSpaceDE w:val="0"/>
        <w:autoSpaceDN w:val="0"/>
        <w:adjustRightInd w:val="0"/>
        <w:spacing w:line="360" w:lineRule="auto"/>
        <w:ind w:leftChars="0"/>
        <w:jc w:val="left"/>
        <w:rPr>
          <w:kern w:val="0"/>
          <w:sz w:val="24"/>
        </w:rPr>
      </w:pPr>
      <w:r>
        <w:rPr>
          <w:rFonts w:hint="eastAsia" w:hAnsi="宋体"/>
          <w:kern w:val="0"/>
          <w:sz w:val="24"/>
          <w:lang w:eastAsia="zh-CN"/>
        </w:rPr>
        <w:t>（</w:t>
      </w:r>
      <w:r>
        <w:rPr>
          <w:rFonts w:hint="eastAsia" w:hAnsi="宋体"/>
          <w:kern w:val="0"/>
          <w:sz w:val="24"/>
          <w:lang w:val="en-US" w:eastAsia="zh-CN"/>
        </w:rPr>
        <w:t>2</w:t>
      </w:r>
      <w:r>
        <w:rPr>
          <w:rFonts w:hint="eastAsia" w:hAnsi="宋体"/>
          <w:kern w:val="0"/>
          <w:sz w:val="24"/>
          <w:lang w:eastAsia="zh-CN"/>
        </w:rPr>
        <w:t>）</w:t>
      </w:r>
      <w:r>
        <w:rPr>
          <w:rFonts w:hAnsi="宋体"/>
          <w:kern w:val="0"/>
          <w:sz w:val="24"/>
        </w:rPr>
        <w:t>获得</w:t>
      </w:r>
      <w:r>
        <w:rPr>
          <w:rFonts w:hint="eastAsia" w:hAnsi="宋体"/>
          <w:kern w:val="0"/>
          <w:sz w:val="24"/>
        </w:rPr>
        <w:t>与专业相关发明专利授权每项计</w:t>
      </w:r>
      <w:r>
        <w:rPr>
          <w:kern w:val="0"/>
          <w:sz w:val="24"/>
        </w:rPr>
        <w:t>5.0</w:t>
      </w:r>
      <w:r>
        <w:rPr>
          <w:rFonts w:hint="eastAsia" w:hAnsi="宋体"/>
          <w:kern w:val="0"/>
          <w:sz w:val="24"/>
        </w:rPr>
        <w:t>分（不包含转让获得）。根据专利合作者的排名情况按以下比例进行分配（合作者超过四人按四人计算）：</w:t>
      </w:r>
      <w:r>
        <w:rPr>
          <w:kern w:val="0"/>
          <w:sz w:val="24"/>
        </w:rPr>
        <w:t xml:space="preserve"> </w:t>
      </w:r>
    </w:p>
    <w:p>
      <w:pPr>
        <w:autoSpaceDE w:val="0"/>
        <w:autoSpaceDN w:val="0"/>
        <w:adjustRightInd w:val="0"/>
        <w:spacing w:line="360" w:lineRule="auto"/>
        <w:jc w:val="left"/>
        <w:rPr>
          <w:kern w:val="0"/>
          <w:sz w:val="24"/>
        </w:rPr>
      </w:pPr>
      <w:r>
        <w:rPr>
          <w:kern w:val="0"/>
          <w:sz w:val="24"/>
        </w:rPr>
        <w:t xml:space="preserve">    </w:t>
      </w:r>
      <w:r>
        <w:rPr>
          <w:rFonts w:hint="eastAsia" w:hAnsi="宋体"/>
          <w:kern w:val="0"/>
          <w:sz w:val="24"/>
        </w:rPr>
        <w:t>一位作者：</w:t>
      </w:r>
      <w:r>
        <w:rPr>
          <w:kern w:val="0"/>
          <w:sz w:val="24"/>
        </w:rPr>
        <w:t>100%</w:t>
      </w:r>
      <w:r>
        <w:rPr>
          <w:rFonts w:hint="eastAsia" w:hAnsi="宋体"/>
          <w:kern w:val="0"/>
          <w:sz w:val="24"/>
        </w:rPr>
        <w:t>；</w:t>
      </w:r>
    </w:p>
    <w:p>
      <w:pPr>
        <w:autoSpaceDE w:val="0"/>
        <w:autoSpaceDN w:val="0"/>
        <w:adjustRightInd w:val="0"/>
        <w:spacing w:line="360" w:lineRule="auto"/>
        <w:jc w:val="left"/>
        <w:rPr>
          <w:kern w:val="0"/>
          <w:sz w:val="24"/>
        </w:rPr>
      </w:pPr>
      <w:r>
        <w:rPr>
          <w:kern w:val="0"/>
          <w:sz w:val="24"/>
        </w:rPr>
        <w:t xml:space="preserve">    </w:t>
      </w:r>
      <w:r>
        <w:rPr>
          <w:rFonts w:hint="eastAsia" w:hAnsi="宋体"/>
          <w:kern w:val="0"/>
          <w:sz w:val="24"/>
        </w:rPr>
        <w:t>二位作者：</w:t>
      </w:r>
      <w:r>
        <w:rPr>
          <w:kern w:val="0"/>
          <w:sz w:val="24"/>
        </w:rPr>
        <w:t>60%</w:t>
      </w:r>
      <w:r>
        <w:rPr>
          <w:rFonts w:hint="eastAsia" w:hAnsi="宋体"/>
          <w:kern w:val="0"/>
          <w:sz w:val="24"/>
        </w:rPr>
        <w:t>、</w:t>
      </w:r>
      <w:r>
        <w:rPr>
          <w:kern w:val="0"/>
          <w:sz w:val="24"/>
        </w:rPr>
        <w:t>40%</w:t>
      </w:r>
      <w:r>
        <w:rPr>
          <w:rFonts w:hint="eastAsia" w:hAnsi="宋体"/>
          <w:kern w:val="0"/>
          <w:sz w:val="24"/>
        </w:rPr>
        <w:t>；</w:t>
      </w:r>
    </w:p>
    <w:p>
      <w:pPr>
        <w:autoSpaceDE w:val="0"/>
        <w:autoSpaceDN w:val="0"/>
        <w:adjustRightInd w:val="0"/>
        <w:spacing w:line="360" w:lineRule="auto"/>
        <w:jc w:val="left"/>
        <w:rPr>
          <w:kern w:val="0"/>
          <w:sz w:val="24"/>
        </w:rPr>
      </w:pPr>
      <w:r>
        <w:rPr>
          <w:kern w:val="0"/>
          <w:sz w:val="24"/>
        </w:rPr>
        <w:t xml:space="preserve">    </w:t>
      </w:r>
      <w:r>
        <w:rPr>
          <w:rFonts w:hint="eastAsia" w:hAnsi="宋体"/>
          <w:kern w:val="0"/>
          <w:sz w:val="24"/>
        </w:rPr>
        <w:t>三位作者：</w:t>
      </w:r>
      <w:r>
        <w:rPr>
          <w:kern w:val="0"/>
          <w:sz w:val="24"/>
        </w:rPr>
        <w:t>50%</w:t>
      </w:r>
      <w:r>
        <w:rPr>
          <w:rFonts w:hint="eastAsia" w:hAnsi="宋体"/>
          <w:kern w:val="0"/>
          <w:sz w:val="24"/>
        </w:rPr>
        <w:t>、</w:t>
      </w:r>
      <w:r>
        <w:rPr>
          <w:kern w:val="0"/>
          <w:sz w:val="24"/>
        </w:rPr>
        <w:t>30%</w:t>
      </w:r>
      <w:r>
        <w:rPr>
          <w:rFonts w:hint="eastAsia" w:hAnsi="宋体"/>
          <w:kern w:val="0"/>
          <w:sz w:val="24"/>
        </w:rPr>
        <w:t>、</w:t>
      </w:r>
      <w:r>
        <w:rPr>
          <w:kern w:val="0"/>
          <w:sz w:val="24"/>
        </w:rPr>
        <w:t>20%</w:t>
      </w:r>
      <w:r>
        <w:rPr>
          <w:rFonts w:hint="eastAsia" w:hAnsi="宋体"/>
          <w:kern w:val="0"/>
          <w:sz w:val="24"/>
        </w:rPr>
        <w:t>；</w:t>
      </w:r>
    </w:p>
    <w:p>
      <w:pPr>
        <w:autoSpaceDE w:val="0"/>
        <w:autoSpaceDN w:val="0"/>
        <w:adjustRightInd w:val="0"/>
        <w:spacing w:line="360" w:lineRule="auto"/>
        <w:jc w:val="left"/>
        <w:rPr>
          <w:kern w:val="0"/>
          <w:sz w:val="24"/>
        </w:rPr>
      </w:pPr>
      <w:r>
        <w:rPr>
          <w:kern w:val="0"/>
          <w:sz w:val="24"/>
        </w:rPr>
        <w:t xml:space="preserve">    </w:t>
      </w:r>
      <w:r>
        <w:rPr>
          <w:rFonts w:hint="eastAsia" w:hAnsi="宋体"/>
          <w:kern w:val="0"/>
          <w:sz w:val="24"/>
        </w:rPr>
        <w:t>四位作者：</w:t>
      </w:r>
      <w:r>
        <w:rPr>
          <w:kern w:val="0"/>
          <w:sz w:val="24"/>
        </w:rPr>
        <w:t>40%</w:t>
      </w:r>
      <w:r>
        <w:rPr>
          <w:rFonts w:hint="eastAsia" w:hAnsi="宋体"/>
          <w:kern w:val="0"/>
          <w:sz w:val="24"/>
        </w:rPr>
        <w:t>、</w:t>
      </w:r>
      <w:r>
        <w:rPr>
          <w:kern w:val="0"/>
          <w:sz w:val="24"/>
        </w:rPr>
        <w:t>30%</w:t>
      </w:r>
      <w:r>
        <w:rPr>
          <w:rFonts w:hint="eastAsia" w:hAnsi="宋体"/>
          <w:kern w:val="0"/>
          <w:sz w:val="24"/>
        </w:rPr>
        <w:t>、</w:t>
      </w:r>
      <w:r>
        <w:rPr>
          <w:kern w:val="0"/>
          <w:sz w:val="24"/>
        </w:rPr>
        <w:t>20%</w:t>
      </w:r>
      <w:r>
        <w:rPr>
          <w:rFonts w:hint="eastAsia" w:hAnsi="宋体"/>
          <w:kern w:val="0"/>
          <w:sz w:val="24"/>
        </w:rPr>
        <w:t>、</w:t>
      </w:r>
      <w:r>
        <w:rPr>
          <w:kern w:val="0"/>
          <w:sz w:val="24"/>
        </w:rPr>
        <w:t>10%</w:t>
      </w:r>
      <w:r>
        <w:rPr>
          <w:rFonts w:hint="eastAsia" w:hAnsi="宋体"/>
          <w:kern w:val="0"/>
          <w:sz w:val="24"/>
        </w:rPr>
        <w:t>。</w:t>
      </w:r>
    </w:p>
    <w:p>
      <w:pPr>
        <w:autoSpaceDE w:val="0"/>
        <w:autoSpaceDN w:val="0"/>
        <w:adjustRightInd w:val="0"/>
        <w:spacing w:line="360" w:lineRule="auto"/>
        <w:jc w:val="left"/>
        <w:rPr>
          <w:kern w:val="0"/>
          <w:sz w:val="24"/>
        </w:rPr>
      </w:pPr>
      <w:r>
        <w:rPr>
          <w:rFonts w:hint="eastAsia" w:hAnsi="宋体"/>
          <w:kern w:val="0"/>
          <w:sz w:val="24"/>
        </w:rPr>
        <w:t>说明：论文、专利权人单位需标注安徽大学为第一单位；论文分区标准参《安徽大学自然科学类学术成果和科研项目分类评价认定标准》；</w:t>
      </w:r>
      <w:r>
        <w:rPr>
          <w:rFonts w:hAnsi="宋体"/>
          <w:kern w:val="0"/>
          <w:sz w:val="24"/>
        </w:rPr>
        <w:t>论文需提供检索报告</w:t>
      </w:r>
      <w:r>
        <w:rPr>
          <w:rFonts w:hint="eastAsia" w:hAnsi="宋体"/>
          <w:kern w:val="0"/>
          <w:sz w:val="24"/>
        </w:rPr>
        <w:t>和分区证明。</w:t>
      </w:r>
    </w:p>
    <w:p>
      <w:pPr>
        <w:autoSpaceDE w:val="0"/>
        <w:autoSpaceDN w:val="0"/>
        <w:adjustRightInd w:val="0"/>
        <w:spacing w:line="360" w:lineRule="auto"/>
        <w:jc w:val="left"/>
        <w:rPr>
          <w:bCs/>
          <w:kern w:val="0"/>
          <w:sz w:val="24"/>
        </w:rPr>
      </w:pPr>
      <w:r>
        <w:rPr>
          <w:bCs/>
          <w:kern w:val="0"/>
          <w:sz w:val="24"/>
        </w:rPr>
        <w:t xml:space="preserve">3. </w:t>
      </w:r>
      <w:r>
        <w:rPr>
          <w:rFonts w:hint="eastAsia" w:hAnsi="宋体"/>
          <w:bCs/>
          <w:kern w:val="0"/>
          <w:sz w:val="24"/>
        </w:rPr>
        <w:t>创新性实践项目</w:t>
      </w:r>
      <w:r>
        <w:rPr>
          <w:bCs/>
          <w:kern w:val="0"/>
          <w:sz w:val="24"/>
        </w:rPr>
        <w:t xml:space="preserve"> </w:t>
      </w:r>
    </w:p>
    <w:p>
      <w:pPr>
        <w:autoSpaceDE w:val="0"/>
        <w:autoSpaceDN w:val="0"/>
        <w:adjustRightInd w:val="0"/>
        <w:spacing w:line="360" w:lineRule="auto"/>
        <w:jc w:val="left"/>
        <w:rPr>
          <w:kern w:val="0"/>
          <w:sz w:val="24"/>
        </w:rPr>
      </w:pPr>
      <w:r>
        <w:rPr>
          <w:kern w:val="0"/>
          <w:sz w:val="24"/>
        </w:rPr>
        <w:t xml:space="preserve">    </w:t>
      </w:r>
      <w:r>
        <w:rPr>
          <w:rFonts w:hint="eastAsia" w:hAnsi="宋体"/>
          <w:kern w:val="0"/>
          <w:sz w:val="24"/>
        </w:rPr>
        <w:t>学生参与并完成国家或省级大学生科研训练计划项目和大学生创新创业训练计划项目，项目结题验收成绩合格及以上，分别给予项目组奖励加分，项目组成员则根据结题验收表上的承担工作量比例（一位完成人：</w:t>
      </w:r>
      <w:r>
        <w:rPr>
          <w:kern w:val="0"/>
          <w:sz w:val="24"/>
        </w:rPr>
        <w:t>100%</w:t>
      </w:r>
      <w:r>
        <w:rPr>
          <w:rFonts w:hint="eastAsia" w:hAnsi="宋体"/>
          <w:kern w:val="0"/>
          <w:sz w:val="24"/>
        </w:rPr>
        <w:t>；二位完成人：</w:t>
      </w:r>
      <w:r>
        <w:rPr>
          <w:kern w:val="0"/>
          <w:sz w:val="24"/>
        </w:rPr>
        <w:t>60%</w:t>
      </w:r>
      <w:r>
        <w:rPr>
          <w:rFonts w:hint="eastAsia" w:hAnsi="宋体"/>
          <w:kern w:val="0"/>
          <w:sz w:val="24"/>
        </w:rPr>
        <w:t>、</w:t>
      </w:r>
      <w:r>
        <w:rPr>
          <w:kern w:val="0"/>
          <w:sz w:val="24"/>
        </w:rPr>
        <w:t>40%</w:t>
      </w:r>
      <w:r>
        <w:rPr>
          <w:rFonts w:hint="eastAsia" w:hAnsi="宋体"/>
          <w:kern w:val="0"/>
          <w:sz w:val="24"/>
        </w:rPr>
        <w:t>；三位完成人：</w:t>
      </w:r>
      <w:r>
        <w:rPr>
          <w:kern w:val="0"/>
          <w:sz w:val="24"/>
        </w:rPr>
        <w:t>50%</w:t>
      </w:r>
      <w:r>
        <w:rPr>
          <w:rFonts w:hint="eastAsia" w:hAnsi="宋体"/>
          <w:kern w:val="0"/>
          <w:sz w:val="24"/>
        </w:rPr>
        <w:t>、</w:t>
      </w:r>
      <w:r>
        <w:rPr>
          <w:kern w:val="0"/>
          <w:sz w:val="24"/>
        </w:rPr>
        <w:t>30%</w:t>
      </w:r>
      <w:r>
        <w:rPr>
          <w:rFonts w:hint="eastAsia" w:hAnsi="宋体"/>
          <w:kern w:val="0"/>
          <w:sz w:val="24"/>
        </w:rPr>
        <w:t>、</w:t>
      </w:r>
      <w:r>
        <w:rPr>
          <w:kern w:val="0"/>
          <w:sz w:val="24"/>
        </w:rPr>
        <w:t>20%</w:t>
      </w:r>
      <w:r>
        <w:rPr>
          <w:rFonts w:hint="eastAsia" w:hAnsi="宋体"/>
          <w:kern w:val="0"/>
          <w:sz w:val="24"/>
        </w:rPr>
        <w:t>；四位完成人：</w:t>
      </w:r>
      <w:r>
        <w:rPr>
          <w:kern w:val="0"/>
          <w:sz w:val="24"/>
        </w:rPr>
        <w:t>40%</w:t>
      </w:r>
      <w:r>
        <w:rPr>
          <w:rFonts w:hint="eastAsia" w:hAnsi="宋体"/>
          <w:kern w:val="0"/>
          <w:sz w:val="24"/>
        </w:rPr>
        <w:t>、</w:t>
      </w:r>
      <w:r>
        <w:rPr>
          <w:kern w:val="0"/>
          <w:sz w:val="24"/>
        </w:rPr>
        <w:t>30%</w:t>
      </w:r>
      <w:r>
        <w:rPr>
          <w:rFonts w:hint="eastAsia" w:hAnsi="宋体"/>
          <w:kern w:val="0"/>
          <w:sz w:val="24"/>
        </w:rPr>
        <w:t>、</w:t>
      </w:r>
      <w:r>
        <w:rPr>
          <w:kern w:val="0"/>
          <w:sz w:val="24"/>
        </w:rPr>
        <w:t>20%</w:t>
      </w:r>
      <w:r>
        <w:rPr>
          <w:rFonts w:hint="eastAsia" w:hAnsi="宋体"/>
          <w:kern w:val="0"/>
          <w:sz w:val="24"/>
        </w:rPr>
        <w:t>、</w:t>
      </w:r>
      <w:r>
        <w:rPr>
          <w:kern w:val="0"/>
          <w:sz w:val="24"/>
        </w:rPr>
        <w:t>10%</w:t>
      </w:r>
      <w:r>
        <w:rPr>
          <w:rFonts w:hint="eastAsia"/>
          <w:kern w:val="0"/>
          <w:sz w:val="24"/>
        </w:rPr>
        <w:t>）</w:t>
      </w:r>
      <w:r>
        <w:rPr>
          <w:rFonts w:hint="eastAsia" w:hAnsi="宋体"/>
          <w:kern w:val="0"/>
          <w:sz w:val="24"/>
        </w:rPr>
        <w:t>获得个人加分。加分规则为：</w:t>
      </w:r>
    </w:p>
    <w:tbl>
      <w:tblPr>
        <w:tblStyle w:val="4"/>
        <w:tblW w:w="5364" w:type="dxa"/>
        <w:tblInd w:w="15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8"/>
        <w:gridCol w:w="1788"/>
        <w:gridCol w:w="1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7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4"/>
              </w:rPr>
            </w:pPr>
            <w:r>
              <w:rPr>
                <w:rFonts w:hint="eastAsia" w:hAnsi="宋体"/>
                <w:kern w:val="0"/>
                <w:sz w:val="24"/>
              </w:rPr>
              <w:t>项目级别</w:t>
            </w:r>
            <w:r>
              <w:rPr>
                <w:kern w:val="0"/>
                <w:sz w:val="24"/>
              </w:rPr>
              <w:t xml:space="preserve"> </w:t>
            </w:r>
          </w:p>
        </w:tc>
        <w:tc>
          <w:tcPr>
            <w:tcW w:w="17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4"/>
              </w:rPr>
            </w:pPr>
            <w:r>
              <w:rPr>
                <w:rFonts w:hint="eastAsia" w:hAnsi="宋体"/>
                <w:kern w:val="0"/>
                <w:sz w:val="24"/>
              </w:rPr>
              <w:t>优秀</w:t>
            </w:r>
            <w:r>
              <w:rPr>
                <w:kern w:val="0"/>
                <w:sz w:val="24"/>
              </w:rPr>
              <w:t xml:space="preserve"> </w:t>
            </w:r>
          </w:p>
        </w:tc>
        <w:tc>
          <w:tcPr>
            <w:tcW w:w="17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4"/>
              </w:rPr>
            </w:pPr>
            <w:r>
              <w:rPr>
                <w:rFonts w:hint="eastAsia" w:hAnsi="宋体"/>
                <w:kern w:val="0"/>
                <w:sz w:val="24"/>
              </w:rPr>
              <w:t>合格</w:t>
            </w:r>
            <w:r>
              <w:rPr>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7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4"/>
              </w:rPr>
            </w:pPr>
            <w:r>
              <w:rPr>
                <w:rFonts w:hint="eastAsia" w:hAnsi="宋体"/>
                <w:kern w:val="0"/>
                <w:sz w:val="24"/>
              </w:rPr>
              <w:t>省级</w:t>
            </w:r>
          </w:p>
        </w:tc>
        <w:tc>
          <w:tcPr>
            <w:tcW w:w="17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4"/>
              </w:rPr>
            </w:pPr>
            <w:r>
              <w:rPr>
                <w:kern w:val="0"/>
                <w:sz w:val="24"/>
              </w:rPr>
              <w:t xml:space="preserve">2.0 </w:t>
            </w:r>
          </w:p>
        </w:tc>
        <w:tc>
          <w:tcPr>
            <w:tcW w:w="17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4"/>
              </w:rPr>
            </w:pPr>
            <w:r>
              <w:rPr>
                <w:kern w:val="0"/>
                <w:sz w:val="24"/>
              </w:rPr>
              <w:t xml:space="preserve">0.5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7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4"/>
              </w:rPr>
            </w:pPr>
            <w:r>
              <w:rPr>
                <w:rFonts w:hint="eastAsia" w:hAnsi="宋体"/>
                <w:kern w:val="0"/>
                <w:sz w:val="24"/>
              </w:rPr>
              <w:t>国家级</w:t>
            </w:r>
            <w:r>
              <w:rPr>
                <w:kern w:val="0"/>
                <w:sz w:val="24"/>
              </w:rPr>
              <w:t xml:space="preserve"> </w:t>
            </w:r>
          </w:p>
        </w:tc>
        <w:tc>
          <w:tcPr>
            <w:tcW w:w="17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4"/>
              </w:rPr>
            </w:pPr>
            <w:r>
              <w:rPr>
                <w:kern w:val="0"/>
                <w:sz w:val="24"/>
              </w:rPr>
              <w:t xml:space="preserve">3.0 </w:t>
            </w:r>
          </w:p>
        </w:tc>
        <w:tc>
          <w:tcPr>
            <w:tcW w:w="17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4"/>
              </w:rPr>
            </w:pPr>
            <w:r>
              <w:rPr>
                <w:kern w:val="0"/>
                <w:sz w:val="24"/>
              </w:rPr>
              <w:t xml:space="preserve">1.0 </w:t>
            </w:r>
          </w:p>
        </w:tc>
      </w:tr>
    </w:tbl>
    <w:p>
      <w:pPr>
        <w:autoSpaceDE w:val="0"/>
        <w:autoSpaceDN w:val="0"/>
        <w:adjustRightInd w:val="0"/>
        <w:spacing w:line="360" w:lineRule="auto"/>
        <w:jc w:val="left"/>
        <w:rPr>
          <w:bCs/>
          <w:kern w:val="0"/>
          <w:sz w:val="24"/>
        </w:rPr>
      </w:pPr>
      <w:r>
        <w:rPr>
          <w:bCs/>
          <w:kern w:val="0"/>
          <w:sz w:val="24"/>
        </w:rPr>
        <w:t>4</w:t>
      </w:r>
      <w:r>
        <w:rPr>
          <w:rFonts w:hint="eastAsia" w:hAnsi="宋体"/>
          <w:bCs/>
          <w:kern w:val="0"/>
          <w:sz w:val="24"/>
        </w:rPr>
        <w:t>．荣誉表彰</w:t>
      </w:r>
      <w:r>
        <w:rPr>
          <w:bCs/>
          <w:kern w:val="0"/>
          <w:sz w:val="24"/>
        </w:rPr>
        <w:t xml:space="preserve"> </w:t>
      </w:r>
    </w:p>
    <w:p>
      <w:pPr>
        <w:pStyle w:val="8"/>
        <w:numPr>
          <w:ilvl w:val="0"/>
          <w:numId w:val="0"/>
        </w:numPr>
        <w:autoSpaceDE w:val="0"/>
        <w:autoSpaceDN w:val="0"/>
        <w:adjustRightInd w:val="0"/>
        <w:spacing w:line="500" w:lineRule="exact"/>
        <w:ind w:leftChars="0"/>
        <w:rPr>
          <w:kern w:val="0"/>
          <w:sz w:val="24"/>
        </w:rPr>
      </w:pPr>
      <w:r>
        <w:rPr>
          <w:rFonts w:hint="eastAsia"/>
          <w:kern w:val="0"/>
          <w:sz w:val="24"/>
          <w:lang w:eastAsia="zh-CN"/>
        </w:rPr>
        <w:t>（</w:t>
      </w:r>
      <w:r>
        <w:rPr>
          <w:rFonts w:hint="eastAsia"/>
          <w:kern w:val="0"/>
          <w:sz w:val="24"/>
          <w:lang w:val="en-US" w:eastAsia="zh-CN"/>
        </w:rPr>
        <w:t>1</w:t>
      </w:r>
      <w:r>
        <w:rPr>
          <w:rFonts w:hint="eastAsia"/>
          <w:kern w:val="0"/>
          <w:sz w:val="24"/>
          <w:lang w:eastAsia="zh-CN"/>
        </w:rPr>
        <w:t>）</w:t>
      </w:r>
      <w:r>
        <w:rPr>
          <w:rFonts w:hint="eastAsia"/>
          <w:kern w:val="0"/>
          <w:sz w:val="24"/>
        </w:rPr>
        <w:t>获得国家级荣誉表彰的个人，按</w:t>
      </w:r>
      <w:r>
        <w:rPr>
          <w:kern w:val="0"/>
          <w:sz w:val="24"/>
        </w:rPr>
        <w:t>5.0</w:t>
      </w:r>
      <w:r>
        <w:rPr>
          <w:rFonts w:hint="eastAsia"/>
          <w:kern w:val="0"/>
          <w:sz w:val="24"/>
        </w:rPr>
        <w:t>分</w:t>
      </w:r>
      <w:r>
        <w:rPr>
          <w:kern w:val="0"/>
          <w:sz w:val="24"/>
        </w:rPr>
        <w:t>/</w:t>
      </w:r>
      <w:r>
        <w:rPr>
          <w:rFonts w:hint="eastAsia"/>
          <w:kern w:val="0"/>
          <w:sz w:val="24"/>
        </w:rPr>
        <w:t>次加分；获得省级先进个人（如十佳大学生等）：由省教育厅、团省委等相关部门主持评选的，按</w:t>
      </w:r>
      <w:r>
        <w:rPr>
          <w:kern w:val="0"/>
          <w:sz w:val="24"/>
        </w:rPr>
        <w:t>2.0</w:t>
      </w:r>
      <w:r>
        <w:rPr>
          <w:rFonts w:hint="eastAsia"/>
          <w:kern w:val="0"/>
          <w:sz w:val="24"/>
        </w:rPr>
        <w:t>分</w:t>
      </w:r>
      <w:r>
        <w:rPr>
          <w:kern w:val="0"/>
          <w:sz w:val="24"/>
        </w:rPr>
        <w:t>/</w:t>
      </w:r>
      <w:r>
        <w:rPr>
          <w:rFonts w:hint="eastAsia"/>
          <w:kern w:val="0"/>
          <w:sz w:val="24"/>
        </w:rPr>
        <w:t>次加分；获得校级荣誉表彰的个人，由学校相关部门主持评选的，按</w:t>
      </w:r>
      <w:r>
        <w:rPr>
          <w:kern w:val="0"/>
          <w:sz w:val="24"/>
        </w:rPr>
        <w:t>0.5</w:t>
      </w:r>
      <w:r>
        <w:rPr>
          <w:rFonts w:hint="eastAsia"/>
          <w:kern w:val="0"/>
          <w:sz w:val="24"/>
        </w:rPr>
        <w:t>分</w:t>
      </w:r>
      <w:r>
        <w:rPr>
          <w:kern w:val="0"/>
          <w:sz w:val="24"/>
        </w:rPr>
        <w:t>/</w:t>
      </w:r>
      <w:r>
        <w:rPr>
          <w:rFonts w:hint="eastAsia"/>
          <w:kern w:val="0"/>
          <w:sz w:val="24"/>
        </w:rPr>
        <w:t>次加分；以上各类奖项，如等额到学院、班级，均不加分；</w:t>
      </w:r>
    </w:p>
    <w:p>
      <w:pPr>
        <w:pStyle w:val="8"/>
        <w:numPr>
          <w:ilvl w:val="0"/>
          <w:numId w:val="0"/>
        </w:numPr>
        <w:autoSpaceDE w:val="0"/>
        <w:autoSpaceDN w:val="0"/>
        <w:adjustRightInd w:val="0"/>
        <w:spacing w:line="500" w:lineRule="exact"/>
        <w:ind w:leftChars="0"/>
        <w:rPr>
          <w:kern w:val="0"/>
          <w:sz w:val="24"/>
        </w:rPr>
      </w:pPr>
      <w:r>
        <w:rPr>
          <w:rFonts w:hint="eastAsia"/>
          <w:kern w:val="0"/>
          <w:sz w:val="24"/>
          <w:lang w:eastAsia="zh-CN"/>
        </w:rPr>
        <w:t>（</w:t>
      </w:r>
      <w:r>
        <w:rPr>
          <w:rFonts w:hint="eastAsia"/>
          <w:kern w:val="0"/>
          <w:sz w:val="24"/>
          <w:lang w:val="en-US" w:eastAsia="zh-CN"/>
        </w:rPr>
        <w:t>2</w:t>
      </w:r>
      <w:r>
        <w:rPr>
          <w:rFonts w:hint="eastAsia"/>
          <w:kern w:val="0"/>
          <w:sz w:val="24"/>
          <w:lang w:eastAsia="zh-CN"/>
        </w:rPr>
        <w:t>）</w:t>
      </w:r>
      <w:r>
        <w:rPr>
          <w:rFonts w:hint="eastAsia"/>
          <w:kern w:val="0"/>
          <w:sz w:val="24"/>
        </w:rPr>
        <w:t>个人事迹受到省级以上主流媒体报道的，按</w:t>
      </w:r>
      <w:r>
        <w:rPr>
          <w:kern w:val="0"/>
          <w:sz w:val="24"/>
        </w:rPr>
        <w:t>2.0</w:t>
      </w:r>
      <w:r>
        <w:rPr>
          <w:rFonts w:hint="eastAsia"/>
          <w:kern w:val="0"/>
          <w:sz w:val="24"/>
        </w:rPr>
        <w:t>分</w:t>
      </w:r>
      <w:r>
        <w:rPr>
          <w:kern w:val="0"/>
          <w:sz w:val="24"/>
        </w:rPr>
        <w:t>/</w:t>
      </w:r>
      <w:r>
        <w:rPr>
          <w:rFonts w:hint="eastAsia"/>
          <w:kern w:val="0"/>
          <w:sz w:val="24"/>
        </w:rPr>
        <w:t>次加分；</w:t>
      </w:r>
    </w:p>
    <w:p>
      <w:pPr>
        <w:pStyle w:val="8"/>
        <w:numPr>
          <w:ilvl w:val="0"/>
          <w:numId w:val="0"/>
        </w:numPr>
        <w:autoSpaceDE w:val="0"/>
        <w:autoSpaceDN w:val="0"/>
        <w:adjustRightInd w:val="0"/>
        <w:spacing w:line="500" w:lineRule="exact"/>
        <w:ind w:leftChars="0"/>
        <w:rPr>
          <w:kern w:val="0"/>
          <w:sz w:val="24"/>
        </w:rPr>
      </w:pPr>
      <w:r>
        <w:rPr>
          <w:rFonts w:hint="eastAsia"/>
          <w:kern w:val="0"/>
          <w:sz w:val="24"/>
          <w:lang w:eastAsia="zh-CN"/>
        </w:rPr>
        <w:t>（</w:t>
      </w:r>
      <w:r>
        <w:rPr>
          <w:rFonts w:hint="eastAsia"/>
          <w:kern w:val="0"/>
          <w:sz w:val="24"/>
          <w:lang w:val="en-US" w:eastAsia="zh-CN"/>
        </w:rPr>
        <w:t>3</w:t>
      </w:r>
      <w:r>
        <w:rPr>
          <w:rFonts w:hint="eastAsia"/>
          <w:kern w:val="0"/>
          <w:sz w:val="24"/>
          <w:lang w:eastAsia="zh-CN"/>
        </w:rPr>
        <w:t>）</w:t>
      </w:r>
      <w:r>
        <w:rPr>
          <w:rFonts w:hint="eastAsia"/>
          <w:kern w:val="0"/>
          <w:sz w:val="24"/>
        </w:rPr>
        <w:t>个人代表学院参加各级各类文体比赛（不含学校运动会）等荣获前</w:t>
      </w:r>
      <w:r>
        <w:rPr>
          <w:kern w:val="0"/>
          <w:sz w:val="24"/>
        </w:rPr>
        <w:t>3</w:t>
      </w:r>
      <w:r>
        <w:rPr>
          <w:rFonts w:hint="eastAsia"/>
          <w:kern w:val="0"/>
          <w:sz w:val="24"/>
        </w:rPr>
        <w:t>名或一等奖，按校级</w:t>
      </w:r>
      <w:r>
        <w:rPr>
          <w:kern w:val="0"/>
          <w:sz w:val="24"/>
        </w:rPr>
        <w:t>0.2</w:t>
      </w:r>
      <w:r>
        <w:rPr>
          <w:rFonts w:hint="eastAsia"/>
          <w:kern w:val="0"/>
          <w:sz w:val="24"/>
        </w:rPr>
        <w:t>分</w:t>
      </w:r>
      <w:r>
        <w:rPr>
          <w:kern w:val="0"/>
          <w:sz w:val="24"/>
        </w:rPr>
        <w:t>/</w:t>
      </w:r>
      <w:r>
        <w:rPr>
          <w:rFonts w:hint="eastAsia"/>
          <w:kern w:val="0"/>
          <w:sz w:val="24"/>
        </w:rPr>
        <w:t>次、省级</w:t>
      </w:r>
      <w:r>
        <w:rPr>
          <w:kern w:val="0"/>
          <w:sz w:val="24"/>
        </w:rPr>
        <w:t>0.5</w:t>
      </w:r>
      <w:r>
        <w:rPr>
          <w:rFonts w:hint="eastAsia"/>
          <w:kern w:val="0"/>
          <w:sz w:val="24"/>
        </w:rPr>
        <w:t>分</w:t>
      </w:r>
      <w:r>
        <w:rPr>
          <w:kern w:val="0"/>
          <w:sz w:val="24"/>
        </w:rPr>
        <w:t>/</w:t>
      </w:r>
      <w:r>
        <w:rPr>
          <w:rFonts w:hint="eastAsia"/>
          <w:kern w:val="0"/>
          <w:sz w:val="24"/>
        </w:rPr>
        <w:t>次、国家级</w:t>
      </w:r>
      <w:r>
        <w:rPr>
          <w:kern w:val="0"/>
          <w:sz w:val="24"/>
        </w:rPr>
        <w:t>1</w:t>
      </w:r>
      <w:r>
        <w:rPr>
          <w:rFonts w:hint="eastAsia"/>
          <w:kern w:val="0"/>
          <w:sz w:val="24"/>
        </w:rPr>
        <w:t>分</w:t>
      </w:r>
      <w:r>
        <w:rPr>
          <w:kern w:val="0"/>
          <w:sz w:val="24"/>
        </w:rPr>
        <w:t>/</w:t>
      </w:r>
      <w:r>
        <w:rPr>
          <w:rFonts w:hint="eastAsia"/>
          <w:kern w:val="0"/>
          <w:sz w:val="24"/>
        </w:rPr>
        <w:t>次加分；荣获</w:t>
      </w:r>
      <w:r>
        <w:rPr>
          <w:kern w:val="0"/>
          <w:sz w:val="24"/>
        </w:rPr>
        <w:t>4-8</w:t>
      </w:r>
      <w:r>
        <w:rPr>
          <w:rFonts w:hint="eastAsia"/>
          <w:kern w:val="0"/>
          <w:sz w:val="24"/>
        </w:rPr>
        <w:t>名或二、三等奖，按校级</w:t>
      </w:r>
      <w:r>
        <w:rPr>
          <w:kern w:val="0"/>
          <w:sz w:val="24"/>
        </w:rPr>
        <w:t>0.1</w:t>
      </w:r>
      <w:r>
        <w:rPr>
          <w:rFonts w:hint="eastAsia"/>
          <w:kern w:val="0"/>
          <w:sz w:val="24"/>
        </w:rPr>
        <w:t>分</w:t>
      </w:r>
      <w:r>
        <w:rPr>
          <w:kern w:val="0"/>
          <w:sz w:val="24"/>
        </w:rPr>
        <w:t>/</w:t>
      </w:r>
      <w:r>
        <w:rPr>
          <w:rFonts w:hint="eastAsia"/>
          <w:kern w:val="0"/>
          <w:sz w:val="24"/>
        </w:rPr>
        <w:t>次、省级</w:t>
      </w:r>
      <w:r>
        <w:rPr>
          <w:kern w:val="0"/>
          <w:sz w:val="24"/>
        </w:rPr>
        <w:t>0.3</w:t>
      </w:r>
      <w:r>
        <w:rPr>
          <w:rFonts w:hint="eastAsia"/>
          <w:kern w:val="0"/>
          <w:sz w:val="24"/>
        </w:rPr>
        <w:t>分</w:t>
      </w:r>
      <w:r>
        <w:rPr>
          <w:kern w:val="0"/>
          <w:sz w:val="24"/>
        </w:rPr>
        <w:t>/</w:t>
      </w:r>
      <w:r>
        <w:rPr>
          <w:rFonts w:hint="eastAsia"/>
          <w:kern w:val="0"/>
          <w:sz w:val="24"/>
        </w:rPr>
        <w:t>次、国家级</w:t>
      </w:r>
      <w:r>
        <w:rPr>
          <w:kern w:val="0"/>
          <w:sz w:val="24"/>
        </w:rPr>
        <w:t>0.5</w:t>
      </w:r>
      <w:r>
        <w:rPr>
          <w:rFonts w:hint="eastAsia"/>
          <w:kern w:val="0"/>
          <w:sz w:val="24"/>
        </w:rPr>
        <w:t>分</w:t>
      </w:r>
      <w:r>
        <w:rPr>
          <w:kern w:val="0"/>
          <w:sz w:val="24"/>
        </w:rPr>
        <w:t>/</w:t>
      </w:r>
      <w:r>
        <w:rPr>
          <w:rFonts w:hint="eastAsia"/>
          <w:kern w:val="0"/>
          <w:sz w:val="24"/>
        </w:rPr>
        <w:t>次加分；</w:t>
      </w:r>
    </w:p>
    <w:p>
      <w:pPr>
        <w:pStyle w:val="8"/>
        <w:numPr>
          <w:ilvl w:val="0"/>
          <w:numId w:val="0"/>
        </w:numPr>
        <w:autoSpaceDE w:val="0"/>
        <w:autoSpaceDN w:val="0"/>
        <w:adjustRightInd w:val="0"/>
        <w:spacing w:line="500" w:lineRule="exact"/>
        <w:ind w:leftChars="0"/>
        <w:rPr>
          <w:kern w:val="0"/>
          <w:sz w:val="24"/>
        </w:rPr>
      </w:pPr>
      <w:r>
        <w:rPr>
          <w:rFonts w:hint="eastAsia" w:ascii="宋体" w:hAnsi="宋体"/>
          <w:kern w:val="0"/>
          <w:sz w:val="24"/>
          <w:lang w:eastAsia="zh-CN"/>
        </w:rPr>
        <w:t>（</w:t>
      </w:r>
      <w:r>
        <w:rPr>
          <w:rFonts w:hint="eastAsia" w:ascii="宋体" w:hAnsi="宋体"/>
          <w:kern w:val="0"/>
          <w:sz w:val="24"/>
          <w:lang w:val="en-US" w:eastAsia="zh-CN"/>
        </w:rPr>
        <w:t>4</w:t>
      </w:r>
      <w:r>
        <w:rPr>
          <w:rFonts w:hint="eastAsia" w:ascii="宋体" w:hAnsi="宋体"/>
          <w:kern w:val="0"/>
          <w:sz w:val="24"/>
          <w:lang w:eastAsia="zh-CN"/>
        </w:rPr>
        <w:t>）</w:t>
      </w:r>
      <w:r>
        <w:rPr>
          <w:rFonts w:hint="eastAsia" w:ascii="宋体" w:hAnsi="宋体"/>
          <w:kern w:val="0"/>
          <w:sz w:val="24"/>
        </w:rPr>
        <w:t>参加学校运动会的个人或集体必须参加学院组织的院运动会训练。参加学校运动会的个人，加</w:t>
      </w:r>
      <w:r>
        <w:rPr>
          <w:rFonts w:ascii="宋体" w:hAnsi="宋体"/>
          <w:kern w:val="0"/>
          <w:sz w:val="24"/>
        </w:rPr>
        <w:t>0.2</w:t>
      </w:r>
      <w:r>
        <w:rPr>
          <w:rFonts w:hint="eastAsia" w:ascii="宋体" w:hAnsi="宋体"/>
          <w:kern w:val="0"/>
          <w:sz w:val="24"/>
        </w:rPr>
        <w:t>分，参加学校运动会并得分的个人，加</w:t>
      </w:r>
      <w:r>
        <w:rPr>
          <w:rFonts w:ascii="宋体" w:hAnsi="宋体"/>
          <w:kern w:val="0"/>
          <w:sz w:val="24"/>
        </w:rPr>
        <w:t>0.5</w:t>
      </w:r>
      <w:r>
        <w:rPr>
          <w:rFonts w:hint="eastAsia" w:ascii="宋体" w:hAnsi="宋体"/>
          <w:kern w:val="0"/>
          <w:sz w:val="24"/>
        </w:rPr>
        <w:t>分；连续两年参加学校运动会且得分在</w:t>
      </w:r>
      <w:r>
        <w:rPr>
          <w:rFonts w:ascii="宋体" w:hAnsi="宋体"/>
          <w:kern w:val="0"/>
          <w:sz w:val="24"/>
        </w:rPr>
        <w:t>5</w:t>
      </w:r>
      <w:r>
        <w:rPr>
          <w:rFonts w:hint="eastAsia" w:ascii="宋体" w:hAnsi="宋体"/>
          <w:kern w:val="0"/>
          <w:sz w:val="24"/>
        </w:rPr>
        <w:t>分以上（含</w:t>
      </w:r>
      <w:r>
        <w:rPr>
          <w:rFonts w:ascii="宋体" w:hAnsi="宋体"/>
          <w:kern w:val="0"/>
          <w:sz w:val="24"/>
        </w:rPr>
        <w:t>5</w:t>
      </w:r>
      <w:r>
        <w:rPr>
          <w:rFonts w:hint="eastAsia" w:ascii="宋体" w:hAnsi="宋体"/>
          <w:kern w:val="0"/>
          <w:sz w:val="24"/>
        </w:rPr>
        <w:t>分），加</w:t>
      </w:r>
      <w:r>
        <w:rPr>
          <w:rFonts w:ascii="宋体" w:hAnsi="宋体"/>
          <w:kern w:val="0"/>
          <w:sz w:val="24"/>
        </w:rPr>
        <w:t>1.5</w:t>
      </w:r>
      <w:r>
        <w:rPr>
          <w:rFonts w:hint="eastAsia" w:ascii="宋体" w:hAnsi="宋体"/>
          <w:kern w:val="0"/>
          <w:sz w:val="24"/>
        </w:rPr>
        <w:t>分，连续两年参加校运动会且得分在</w:t>
      </w:r>
      <w:r>
        <w:rPr>
          <w:rFonts w:ascii="宋体" w:hAnsi="宋体"/>
          <w:kern w:val="0"/>
          <w:sz w:val="24"/>
        </w:rPr>
        <w:t>10</w:t>
      </w:r>
      <w:r>
        <w:rPr>
          <w:rFonts w:hint="eastAsia" w:ascii="宋体" w:hAnsi="宋体"/>
          <w:kern w:val="0"/>
          <w:sz w:val="24"/>
        </w:rPr>
        <w:t>分以上（含</w:t>
      </w:r>
      <w:r>
        <w:rPr>
          <w:rFonts w:ascii="宋体" w:hAnsi="宋体"/>
          <w:kern w:val="0"/>
          <w:sz w:val="24"/>
        </w:rPr>
        <w:t>10</w:t>
      </w:r>
      <w:r>
        <w:rPr>
          <w:rFonts w:hint="eastAsia" w:ascii="宋体" w:hAnsi="宋体"/>
          <w:kern w:val="0"/>
          <w:sz w:val="24"/>
        </w:rPr>
        <w:t>分），加</w:t>
      </w:r>
      <w:r>
        <w:rPr>
          <w:rFonts w:ascii="宋体" w:hAnsi="宋体"/>
          <w:kern w:val="0"/>
          <w:sz w:val="24"/>
        </w:rPr>
        <w:t>3</w:t>
      </w:r>
      <w:r>
        <w:rPr>
          <w:rFonts w:hint="eastAsia" w:ascii="宋体" w:hAnsi="宋体"/>
          <w:kern w:val="0"/>
          <w:sz w:val="24"/>
        </w:rPr>
        <w:t>分；连续三年参加运动会且得分在</w:t>
      </w:r>
      <w:r>
        <w:rPr>
          <w:rFonts w:ascii="宋体" w:hAnsi="宋体"/>
          <w:kern w:val="0"/>
          <w:sz w:val="24"/>
        </w:rPr>
        <w:t>20</w:t>
      </w:r>
      <w:r>
        <w:rPr>
          <w:rFonts w:hint="eastAsia" w:ascii="宋体" w:hAnsi="宋体"/>
          <w:kern w:val="0"/>
          <w:sz w:val="24"/>
        </w:rPr>
        <w:t>分以上（含</w:t>
      </w:r>
      <w:r>
        <w:rPr>
          <w:rFonts w:ascii="宋体" w:hAnsi="宋体"/>
          <w:kern w:val="0"/>
          <w:sz w:val="24"/>
        </w:rPr>
        <w:t>20</w:t>
      </w:r>
      <w:r>
        <w:rPr>
          <w:rFonts w:hint="eastAsia" w:ascii="宋体" w:hAnsi="宋体"/>
          <w:kern w:val="0"/>
          <w:sz w:val="24"/>
        </w:rPr>
        <w:t>分），加</w:t>
      </w:r>
      <w:r>
        <w:rPr>
          <w:rFonts w:ascii="宋体" w:hAnsi="宋体"/>
          <w:kern w:val="0"/>
          <w:sz w:val="24"/>
        </w:rPr>
        <w:t>5</w:t>
      </w:r>
      <w:r>
        <w:rPr>
          <w:rFonts w:hint="eastAsia" w:ascii="宋体" w:hAnsi="宋体"/>
          <w:kern w:val="0"/>
          <w:sz w:val="24"/>
        </w:rPr>
        <w:t>分；</w:t>
      </w:r>
    </w:p>
    <w:p>
      <w:pPr>
        <w:pStyle w:val="8"/>
        <w:numPr>
          <w:ilvl w:val="0"/>
          <w:numId w:val="0"/>
        </w:numPr>
        <w:spacing w:line="500" w:lineRule="exact"/>
        <w:ind w:leftChars="0"/>
        <w:rPr>
          <w:kern w:val="0"/>
          <w:sz w:val="24"/>
        </w:rPr>
      </w:pPr>
      <w:r>
        <w:rPr>
          <w:rFonts w:hint="eastAsia"/>
          <w:kern w:val="0"/>
          <w:sz w:val="24"/>
          <w:lang w:eastAsia="zh-CN"/>
        </w:rPr>
        <w:t>（</w:t>
      </w:r>
      <w:r>
        <w:rPr>
          <w:rFonts w:hint="eastAsia"/>
          <w:kern w:val="0"/>
          <w:sz w:val="24"/>
          <w:lang w:val="en-US" w:eastAsia="zh-CN"/>
        </w:rPr>
        <w:t>5</w:t>
      </w:r>
      <w:r>
        <w:rPr>
          <w:rFonts w:hint="eastAsia"/>
          <w:kern w:val="0"/>
          <w:sz w:val="24"/>
          <w:lang w:eastAsia="zh-CN"/>
        </w:rPr>
        <w:t>）</w:t>
      </w:r>
      <w:r>
        <w:rPr>
          <w:rFonts w:hint="eastAsia"/>
          <w:kern w:val="0"/>
          <w:sz w:val="24"/>
        </w:rPr>
        <w:t>集体获得以上各等次荣誉称号的，其成员均获得各等次折半加分。</w:t>
      </w:r>
    </w:p>
    <w:p>
      <w:pPr>
        <w:autoSpaceDE w:val="0"/>
        <w:autoSpaceDN w:val="0"/>
        <w:adjustRightInd w:val="0"/>
        <w:spacing w:before="156" w:beforeLines="50" w:line="360" w:lineRule="auto"/>
        <w:jc w:val="left"/>
        <w:rPr>
          <w:b/>
          <w:kern w:val="0"/>
          <w:sz w:val="24"/>
        </w:rPr>
      </w:pPr>
      <w:r>
        <w:rPr>
          <w:rFonts w:hint="eastAsia" w:hAnsi="宋体"/>
          <w:b/>
          <w:kern w:val="0"/>
          <w:sz w:val="24"/>
        </w:rPr>
        <w:t>三、推荐原则</w:t>
      </w:r>
      <w:r>
        <w:rPr>
          <w:b/>
          <w:kern w:val="0"/>
          <w:sz w:val="24"/>
        </w:rPr>
        <w:t xml:space="preserve"> </w:t>
      </w:r>
    </w:p>
    <w:p>
      <w:pPr>
        <w:pStyle w:val="8"/>
        <w:autoSpaceDE w:val="0"/>
        <w:autoSpaceDN w:val="0"/>
        <w:adjustRightInd w:val="0"/>
        <w:spacing w:line="360" w:lineRule="auto"/>
        <w:ind w:firstLine="0" w:firstLineChars="0"/>
        <w:jc w:val="left"/>
        <w:rPr>
          <w:kern w:val="0"/>
          <w:sz w:val="24"/>
        </w:rPr>
      </w:pPr>
      <w:r>
        <w:rPr>
          <w:rFonts w:hint="eastAsia" w:hAnsi="宋体"/>
          <w:kern w:val="0"/>
          <w:sz w:val="24"/>
        </w:rPr>
        <w:t>（一）按综合分排序，从高到低推荐；</w:t>
      </w:r>
    </w:p>
    <w:p>
      <w:pPr>
        <w:pStyle w:val="8"/>
        <w:autoSpaceDE w:val="0"/>
        <w:autoSpaceDN w:val="0"/>
        <w:adjustRightInd w:val="0"/>
        <w:spacing w:line="360" w:lineRule="auto"/>
        <w:ind w:firstLine="0" w:firstLineChars="0"/>
        <w:jc w:val="left"/>
        <w:rPr>
          <w:rFonts w:hAnsi="宋体"/>
          <w:sz w:val="24"/>
        </w:rPr>
      </w:pPr>
      <w:r>
        <w:rPr>
          <w:rFonts w:hint="eastAsia" w:hAnsi="宋体"/>
          <w:sz w:val="24"/>
        </w:rPr>
        <w:t>（二）自动放弃推免资格的学生必须提交书面声明，推免资格一经申明放弃不得更改。</w:t>
      </w:r>
    </w:p>
    <w:p>
      <w:pPr>
        <w:pStyle w:val="8"/>
        <w:autoSpaceDE w:val="0"/>
        <w:autoSpaceDN w:val="0"/>
        <w:adjustRightInd w:val="0"/>
        <w:spacing w:line="360" w:lineRule="auto"/>
        <w:ind w:firstLine="0" w:firstLineChars="0"/>
        <w:jc w:val="left"/>
        <w:rPr>
          <w:sz w:val="24"/>
        </w:rPr>
      </w:pPr>
      <w:r>
        <w:rPr>
          <w:rFonts w:hint="eastAsia"/>
          <w:sz w:val="24"/>
        </w:rPr>
        <w:t>（三）大学生士兵服役期间获得三等功及以上军功、优秀士兵称号、旅团级机关嘉奖之一，已获得的总学分不少于120学分，成绩排名在本专业前60%（复学后调整专业的按调整后成绩计算），可以获得免试推荐攻读硕士学位研究生资格。</w:t>
      </w:r>
    </w:p>
    <w:p>
      <w:pPr>
        <w:autoSpaceDE w:val="0"/>
        <w:autoSpaceDN w:val="0"/>
        <w:adjustRightInd w:val="0"/>
        <w:spacing w:before="156" w:beforeLines="50" w:line="360" w:lineRule="auto"/>
        <w:jc w:val="left"/>
        <w:rPr>
          <w:rFonts w:hAnsi="宋体"/>
          <w:b/>
          <w:kern w:val="0"/>
          <w:sz w:val="24"/>
        </w:rPr>
      </w:pPr>
      <w:r>
        <w:rPr>
          <w:rFonts w:hint="eastAsia"/>
          <w:b/>
          <w:kern w:val="0"/>
          <w:sz w:val="24"/>
        </w:rPr>
        <w:t>四</w:t>
      </w:r>
      <w:r>
        <w:rPr>
          <w:rFonts w:hint="eastAsia" w:hAnsi="宋体"/>
          <w:b/>
          <w:kern w:val="0"/>
          <w:sz w:val="24"/>
        </w:rPr>
        <w:t>、推荐工作程序</w:t>
      </w:r>
    </w:p>
    <w:p>
      <w:pPr>
        <w:pStyle w:val="8"/>
        <w:autoSpaceDE w:val="0"/>
        <w:autoSpaceDN w:val="0"/>
        <w:adjustRightInd w:val="0"/>
        <w:spacing w:line="360" w:lineRule="auto"/>
        <w:ind w:firstLine="0" w:firstLineChars="0"/>
        <w:rPr>
          <w:kern w:val="0"/>
          <w:sz w:val="24"/>
        </w:rPr>
      </w:pPr>
      <w:r>
        <w:rPr>
          <w:rFonts w:hint="eastAsia" w:hAnsi="宋体"/>
          <w:kern w:val="0"/>
          <w:sz w:val="24"/>
        </w:rPr>
        <w:t>（一）由符合推荐条件的学生个人提出书面申请。如实介绍本人在德、智、体、能等方面的表现情况，并提交证明材料原件（经审核后退回本人）及复印件一份；</w:t>
      </w:r>
    </w:p>
    <w:p>
      <w:pPr>
        <w:pStyle w:val="8"/>
        <w:widowControl/>
        <w:spacing w:line="360" w:lineRule="auto"/>
        <w:ind w:firstLine="0" w:firstLineChars="0"/>
        <w:rPr>
          <w:kern w:val="0"/>
          <w:sz w:val="24"/>
        </w:rPr>
      </w:pPr>
      <w:r>
        <w:rPr>
          <w:rFonts w:hint="eastAsia" w:hAnsi="宋体"/>
          <w:kern w:val="0"/>
          <w:sz w:val="24"/>
        </w:rPr>
        <w:t>（二）学院推免生遴选工作小组在审核材料的基础上，遴选出推免生候选人；</w:t>
      </w:r>
    </w:p>
    <w:p>
      <w:pPr>
        <w:pStyle w:val="8"/>
        <w:autoSpaceDE w:val="0"/>
        <w:autoSpaceDN w:val="0"/>
        <w:adjustRightInd w:val="0"/>
        <w:spacing w:line="360" w:lineRule="auto"/>
        <w:ind w:firstLine="0" w:firstLineChars="0"/>
        <w:rPr>
          <w:kern w:val="0"/>
          <w:sz w:val="24"/>
        </w:rPr>
      </w:pPr>
      <w:r>
        <w:rPr>
          <w:rFonts w:hint="eastAsia" w:hAnsi="宋体"/>
          <w:kern w:val="0"/>
          <w:sz w:val="24"/>
        </w:rPr>
        <w:t>（三）</w:t>
      </w:r>
      <w:r>
        <w:rPr>
          <w:rFonts w:hAnsi="宋体"/>
          <w:kern w:val="0"/>
          <w:sz w:val="24"/>
        </w:rPr>
        <w:t>对于</w:t>
      </w:r>
      <w:r>
        <w:rPr>
          <w:rFonts w:hint="eastAsia" w:hAnsi="宋体"/>
          <w:kern w:val="0"/>
          <w:sz w:val="24"/>
        </w:rPr>
        <w:t>作品抄袭等不诚信行为，由学院推免生遴选工作小组负责裁定，依据裁定结果最高给予取消所有成员推免资格的处分；</w:t>
      </w:r>
    </w:p>
    <w:p>
      <w:pPr>
        <w:pStyle w:val="8"/>
        <w:widowControl/>
        <w:spacing w:line="360" w:lineRule="auto"/>
        <w:ind w:firstLine="0" w:firstLineChars="0"/>
        <w:rPr>
          <w:kern w:val="0"/>
          <w:sz w:val="24"/>
        </w:rPr>
      </w:pPr>
      <w:r>
        <w:rPr>
          <w:rFonts w:hint="eastAsia" w:hAnsi="宋体"/>
          <w:kern w:val="0"/>
          <w:sz w:val="24"/>
        </w:rPr>
        <w:t>（四）推免生候选人经公示无异议后，经学院推免生遴选工作小组组长签署推荐意见，报学校教务处审批。</w:t>
      </w:r>
    </w:p>
    <w:p>
      <w:pPr>
        <w:widowControl/>
        <w:spacing w:before="156" w:beforeLines="50" w:line="360" w:lineRule="auto"/>
        <w:jc w:val="left"/>
        <w:rPr>
          <w:b/>
          <w:bCs/>
          <w:kern w:val="0"/>
          <w:sz w:val="24"/>
        </w:rPr>
      </w:pPr>
      <w:r>
        <w:rPr>
          <w:rFonts w:hint="eastAsia" w:hAnsi="宋体"/>
          <w:b/>
          <w:bCs/>
          <w:kern w:val="0"/>
          <w:sz w:val="24"/>
        </w:rPr>
        <w:t>五、其他</w:t>
      </w:r>
    </w:p>
    <w:p>
      <w:pPr>
        <w:pStyle w:val="8"/>
        <w:spacing w:line="360" w:lineRule="auto"/>
        <w:ind w:firstLine="0" w:firstLineChars="0"/>
        <w:rPr>
          <w:sz w:val="24"/>
        </w:rPr>
      </w:pPr>
      <w:r>
        <w:rPr>
          <w:rFonts w:hint="eastAsia"/>
          <w:sz w:val="24"/>
        </w:rPr>
        <w:t>（一）</w:t>
      </w:r>
      <w:r>
        <w:rPr>
          <w:sz w:val="24"/>
        </w:rPr>
        <w:t>“</w:t>
      </w:r>
      <w:r>
        <w:rPr>
          <w:rFonts w:hint="eastAsia" w:hAnsi="宋体"/>
          <w:sz w:val="24"/>
        </w:rPr>
        <w:t>本人申请</w:t>
      </w:r>
      <w:r>
        <w:rPr>
          <w:sz w:val="24"/>
        </w:rPr>
        <w:t>”</w:t>
      </w:r>
      <w:r>
        <w:rPr>
          <w:rFonts w:hint="eastAsia" w:hAnsi="宋体"/>
          <w:sz w:val="24"/>
        </w:rPr>
        <w:t>由学生本人书写或打印并签名；</w:t>
      </w:r>
    </w:p>
    <w:p>
      <w:pPr>
        <w:pStyle w:val="8"/>
        <w:spacing w:line="360" w:lineRule="auto"/>
        <w:ind w:firstLine="0" w:firstLineChars="0"/>
        <w:rPr>
          <w:sz w:val="24"/>
        </w:rPr>
      </w:pPr>
      <w:r>
        <w:rPr>
          <w:rFonts w:hint="eastAsia" w:hAnsi="宋体"/>
          <w:sz w:val="24"/>
        </w:rPr>
        <w:t>（二）推免生学籍表由院教学秘书从教务系统中打印，经院分管教学副院长初审盖章后，报教务处审核盖章；</w:t>
      </w:r>
    </w:p>
    <w:p>
      <w:pPr>
        <w:pStyle w:val="8"/>
        <w:spacing w:line="360" w:lineRule="auto"/>
        <w:ind w:firstLine="0" w:firstLineChars="0"/>
        <w:rPr>
          <w:sz w:val="24"/>
        </w:rPr>
      </w:pPr>
      <w:r>
        <w:rPr>
          <w:rFonts w:hint="eastAsia"/>
          <w:sz w:val="24"/>
        </w:rPr>
        <w:t>（三）</w:t>
      </w:r>
      <w:r>
        <w:rPr>
          <w:sz w:val="24"/>
        </w:rPr>
        <w:t>“</w:t>
      </w:r>
      <w:r>
        <w:rPr>
          <w:rFonts w:hint="eastAsia" w:hAnsi="宋体"/>
          <w:sz w:val="24"/>
        </w:rPr>
        <w:t>思想政治表现鉴定</w:t>
      </w:r>
      <w:r>
        <w:rPr>
          <w:sz w:val="24"/>
        </w:rPr>
        <w:t>”</w:t>
      </w:r>
      <w:r>
        <w:rPr>
          <w:rFonts w:hint="eastAsia" w:hAnsi="宋体"/>
          <w:sz w:val="24"/>
        </w:rPr>
        <w:t>由院直属党支部出具并加盖院直属党支部公章；</w:t>
      </w:r>
    </w:p>
    <w:p>
      <w:pPr>
        <w:pStyle w:val="8"/>
        <w:spacing w:line="360" w:lineRule="auto"/>
        <w:ind w:firstLine="0" w:firstLineChars="0"/>
        <w:rPr>
          <w:rFonts w:hAnsi="宋体"/>
          <w:sz w:val="24"/>
        </w:rPr>
      </w:pPr>
      <w:r>
        <w:rPr>
          <w:rFonts w:hint="eastAsia" w:ascii="仿宋_GB2312" w:hAnsi="宋体"/>
          <w:sz w:val="24"/>
        </w:rPr>
        <w:t>（四）为保证推免计划执行</w:t>
      </w:r>
      <w:r>
        <w:rPr>
          <w:rFonts w:hint="eastAsia" w:hAnsi="宋体"/>
          <w:sz w:val="24"/>
        </w:rPr>
        <w:t>，不允许已落实就读单位的推免生参加全国研究生统一招生考试</w:t>
      </w:r>
      <w:r>
        <w:rPr>
          <w:rFonts w:hint="eastAsia" w:ascii="仿宋_GB2312" w:hAnsi="宋体"/>
          <w:sz w:val="24"/>
        </w:rPr>
        <w:t>和出国（境）留学</w:t>
      </w:r>
      <w:r>
        <w:rPr>
          <w:rFonts w:hint="eastAsia" w:hAnsi="宋体"/>
          <w:sz w:val="24"/>
        </w:rPr>
        <w:t>；</w:t>
      </w:r>
    </w:p>
    <w:p>
      <w:pPr>
        <w:pStyle w:val="8"/>
        <w:spacing w:line="360" w:lineRule="auto"/>
        <w:ind w:firstLine="0" w:firstLineChars="0"/>
        <w:rPr>
          <w:rFonts w:hAnsi="宋体"/>
          <w:sz w:val="24"/>
        </w:rPr>
      </w:pPr>
      <w:r>
        <w:rPr>
          <w:rFonts w:hint="eastAsia" w:hAnsi="宋体"/>
          <w:sz w:val="24"/>
        </w:rPr>
        <w:t>（五）研究生支教团的招募、选拔工作遵照学校研究生支教团相关文件执行。</w:t>
      </w:r>
    </w:p>
    <w:p>
      <w:pPr>
        <w:spacing w:before="156" w:beforeLines="50" w:line="360" w:lineRule="auto"/>
        <w:rPr>
          <w:rFonts w:hAnsi="宋体"/>
          <w:b/>
          <w:sz w:val="24"/>
        </w:rPr>
      </w:pPr>
      <w:r>
        <w:rPr>
          <w:rFonts w:hint="eastAsia" w:hAnsi="宋体"/>
          <w:b/>
          <w:sz w:val="24"/>
        </w:rPr>
        <w:t>六、本细则未尽事宜由学院推免生遴选工作小组负责解释及认定。</w:t>
      </w:r>
    </w:p>
    <w:p/>
    <w:p>
      <w:pPr>
        <w:pStyle w:val="2"/>
        <w:jc w:val="center"/>
        <w:rPr>
          <w:rFonts w:hint="eastAsia"/>
          <w:sz w:val="32"/>
          <w:szCs w:val="32"/>
        </w:rPr>
      </w:pPr>
    </w:p>
    <w:p>
      <w:pPr>
        <w:pStyle w:val="2"/>
        <w:jc w:val="center"/>
        <w:rPr>
          <w:sz w:val="32"/>
          <w:szCs w:val="32"/>
        </w:rPr>
      </w:pPr>
      <w:r>
        <w:rPr>
          <w:rFonts w:hint="eastAsia"/>
          <w:sz w:val="32"/>
          <w:szCs w:val="32"/>
        </w:rPr>
        <w:t>安徽大学互联网学院2020届通信工程（试验班）和物联网工程（试验班）本科毕业生专业类学术</w:t>
      </w:r>
      <w:r>
        <w:rPr>
          <w:sz w:val="32"/>
          <w:szCs w:val="32"/>
        </w:rPr>
        <w:t>科技</w:t>
      </w:r>
      <w:r>
        <w:rPr>
          <w:rFonts w:hint="eastAsia"/>
          <w:sz w:val="32"/>
          <w:szCs w:val="32"/>
        </w:rPr>
        <w:t>类</w:t>
      </w:r>
      <w:r>
        <w:rPr>
          <w:sz w:val="32"/>
          <w:szCs w:val="32"/>
        </w:rPr>
        <w:t>竞赛级别认定表</w:t>
      </w:r>
      <w:r>
        <w:rPr>
          <w:rFonts w:hint="eastAsia"/>
          <w:sz w:val="32"/>
          <w:szCs w:val="32"/>
        </w:rPr>
        <w:t>（试行）</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822"/>
        <w:gridCol w:w="432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spacing w:line="384" w:lineRule="atLeast"/>
              <w:jc w:val="center"/>
              <w:rPr>
                <w:rFonts w:ascii="宋体" w:hAnsi="宋体" w:cs="宋体"/>
                <w:b/>
                <w:sz w:val="18"/>
                <w:szCs w:val="18"/>
              </w:rPr>
            </w:pPr>
            <w:r>
              <w:rPr>
                <w:b/>
                <w:sz w:val="18"/>
                <w:szCs w:val="18"/>
              </w:rPr>
              <w:t>序号</w:t>
            </w:r>
          </w:p>
        </w:tc>
        <w:tc>
          <w:tcPr>
            <w:tcW w:w="3822" w:type="dxa"/>
            <w:vAlign w:val="center"/>
          </w:tcPr>
          <w:p>
            <w:pPr>
              <w:spacing w:line="384" w:lineRule="atLeast"/>
              <w:jc w:val="center"/>
              <w:rPr>
                <w:rFonts w:ascii="宋体" w:hAnsi="宋体" w:cs="宋体"/>
                <w:b/>
                <w:sz w:val="18"/>
                <w:szCs w:val="18"/>
              </w:rPr>
            </w:pPr>
            <w:r>
              <w:rPr>
                <w:b/>
                <w:sz w:val="18"/>
                <w:szCs w:val="18"/>
              </w:rPr>
              <w:t>竞赛名称</w:t>
            </w:r>
            <w:r>
              <w:rPr>
                <w:rFonts w:hint="eastAsia"/>
                <w:b/>
                <w:sz w:val="18"/>
                <w:szCs w:val="18"/>
              </w:rPr>
              <w:t>（分类）</w:t>
            </w:r>
          </w:p>
        </w:tc>
        <w:tc>
          <w:tcPr>
            <w:tcW w:w="4322" w:type="dxa"/>
            <w:vAlign w:val="center"/>
          </w:tcPr>
          <w:p>
            <w:pPr>
              <w:spacing w:line="384" w:lineRule="atLeast"/>
              <w:jc w:val="center"/>
              <w:rPr>
                <w:rFonts w:ascii="宋体" w:hAnsi="宋体" w:cs="宋体"/>
                <w:b/>
                <w:sz w:val="18"/>
                <w:szCs w:val="18"/>
              </w:rPr>
            </w:pPr>
            <w:r>
              <w:rPr>
                <w:b/>
                <w:sz w:val="18"/>
                <w:szCs w:val="18"/>
              </w:rPr>
              <w:t>主办单位</w:t>
            </w:r>
          </w:p>
        </w:tc>
        <w:tc>
          <w:tcPr>
            <w:tcW w:w="1134" w:type="dxa"/>
            <w:vAlign w:val="center"/>
          </w:tcPr>
          <w:p>
            <w:pPr>
              <w:spacing w:line="384" w:lineRule="atLeast"/>
              <w:jc w:val="center"/>
              <w:rPr>
                <w:rFonts w:ascii="宋体" w:hAnsi="宋体" w:cs="宋体"/>
                <w:b/>
                <w:sz w:val="18"/>
                <w:szCs w:val="18"/>
              </w:rPr>
            </w:pPr>
            <w:r>
              <w:rPr>
                <w:b/>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spacing w:line="384" w:lineRule="atLeast"/>
              <w:jc w:val="center"/>
              <w:rPr>
                <w:sz w:val="22"/>
                <w:szCs w:val="22"/>
              </w:rPr>
            </w:pPr>
            <w:r>
              <w:rPr>
                <w:sz w:val="22"/>
                <w:szCs w:val="22"/>
              </w:rPr>
              <w:t>1</w:t>
            </w:r>
          </w:p>
        </w:tc>
        <w:tc>
          <w:tcPr>
            <w:tcW w:w="3822" w:type="dxa"/>
            <w:vAlign w:val="center"/>
          </w:tcPr>
          <w:p>
            <w:pPr>
              <w:widowControl/>
              <w:jc w:val="center"/>
              <w:textAlignment w:val="center"/>
              <w:rPr>
                <w:rFonts w:ascii="宋体" w:hAnsi="宋体" w:cs="宋体"/>
                <w:szCs w:val="21"/>
              </w:rPr>
            </w:pPr>
            <w:r>
              <w:rPr>
                <w:rFonts w:hint="eastAsia" w:ascii="宋体" w:hAnsi="宋体" w:cs="宋体"/>
                <w:kern w:val="0"/>
                <w:sz w:val="20"/>
                <w:szCs w:val="20"/>
                <w:lang w:bidi="ar"/>
              </w:rPr>
              <w:t>“互联网+”大学生创新创业大赛</w:t>
            </w:r>
          </w:p>
        </w:tc>
        <w:tc>
          <w:tcPr>
            <w:tcW w:w="4322" w:type="dxa"/>
            <w:vAlign w:val="center"/>
          </w:tcPr>
          <w:p>
            <w:pPr>
              <w:widowControl/>
              <w:jc w:val="center"/>
              <w:textAlignment w:val="center"/>
              <w:rPr>
                <w:rFonts w:ascii="宋体" w:hAnsi="宋体" w:cs="宋体"/>
                <w:szCs w:val="21"/>
              </w:rPr>
            </w:pPr>
            <w:r>
              <w:rPr>
                <w:rFonts w:hint="eastAsia" w:ascii="宋体" w:hAnsi="宋体" w:cs="宋体"/>
                <w:kern w:val="0"/>
                <w:sz w:val="20"/>
                <w:szCs w:val="20"/>
                <w:lang w:bidi="ar"/>
              </w:rPr>
              <w:t>教育部等部委</w:t>
            </w:r>
          </w:p>
        </w:tc>
        <w:tc>
          <w:tcPr>
            <w:tcW w:w="1134" w:type="dxa"/>
            <w:vAlign w:val="center"/>
          </w:tcPr>
          <w:p>
            <w:pPr>
              <w:spacing w:line="384" w:lineRule="atLeast"/>
              <w:jc w:val="center"/>
              <w:rPr>
                <w:rFonts w:ascii="宋体" w:hAnsi="宋体" w:cs="宋体"/>
                <w:szCs w:val="21"/>
              </w:rPr>
            </w:pPr>
            <w:r>
              <w:rPr>
                <w:sz w:val="20"/>
                <w:szCs w:val="20"/>
              </w:rPr>
              <w:t>国家级A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jc w:val="center"/>
              <w:rPr>
                <w:sz w:val="22"/>
                <w:szCs w:val="22"/>
              </w:rPr>
            </w:pPr>
            <w:r>
              <w:rPr>
                <w:sz w:val="22"/>
                <w:szCs w:val="22"/>
              </w:rPr>
              <w:t>2</w:t>
            </w:r>
          </w:p>
        </w:tc>
        <w:tc>
          <w:tcPr>
            <w:tcW w:w="3822" w:type="dxa"/>
            <w:vAlign w:val="center"/>
          </w:tcPr>
          <w:p>
            <w:pPr>
              <w:widowControl/>
              <w:jc w:val="center"/>
              <w:textAlignment w:val="center"/>
              <w:rPr>
                <w:sz w:val="18"/>
                <w:szCs w:val="18"/>
              </w:rPr>
            </w:pPr>
            <w:r>
              <w:rPr>
                <w:rFonts w:hint="eastAsia" w:ascii="宋体" w:hAnsi="宋体" w:cs="宋体"/>
                <w:kern w:val="0"/>
                <w:sz w:val="20"/>
                <w:szCs w:val="20"/>
                <w:lang w:bidi="ar"/>
              </w:rPr>
              <w:t>全国大学生智能汽车竞赛</w:t>
            </w:r>
          </w:p>
        </w:tc>
        <w:tc>
          <w:tcPr>
            <w:tcW w:w="4322" w:type="dxa"/>
            <w:vAlign w:val="center"/>
          </w:tcPr>
          <w:p>
            <w:pPr>
              <w:widowControl/>
              <w:jc w:val="center"/>
              <w:textAlignment w:val="center"/>
              <w:rPr>
                <w:sz w:val="20"/>
                <w:szCs w:val="20"/>
              </w:rPr>
            </w:pPr>
            <w:r>
              <w:rPr>
                <w:rFonts w:hint="eastAsia" w:ascii="宋体" w:hAnsi="宋体" w:cs="宋体"/>
                <w:kern w:val="0"/>
                <w:sz w:val="20"/>
                <w:szCs w:val="20"/>
                <w:lang w:bidi="ar"/>
              </w:rPr>
              <w:t>教育部、财政部“质量工程”支持</w:t>
            </w:r>
          </w:p>
        </w:tc>
        <w:tc>
          <w:tcPr>
            <w:tcW w:w="1134" w:type="dxa"/>
            <w:vAlign w:val="center"/>
          </w:tcPr>
          <w:p>
            <w:pPr>
              <w:spacing w:line="384" w:lineRule="atLeast"/>
              <w:jc w:val="center"/>
              <w:rPr>
                <w:sz w:val="20"/>
                <w:szCs w:val="20"/>
              </w:rPr>
            </w:pPr>
            <w:r>
              <w:rPr>
                <w:sz w:val="20"/>
                <w:szCs w:val="20"/>
              </w:rPr>
              <w:t>国家级A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jc w:val="center"/>
              <w:rPr>
                <w:sz w:val="22"/>
                <w:szCs w:val="22"/>
              </w:rPr>
            </w:pPr>
            <w:r>
              <w:rPr>
                <w:sz w:val="22"/>
                <w:szCs w:val="22"/>
              </w:rPr>
              <w:t>3</w:t>
            </w:r>
          </w:p>
        </w:tc>
        <w:tc>
          <w:tcPr>
            <w:tcW w:w="3822" w:type="dxa"/>
            <w:vAlign w:val="center"/>
          </w:tcPr>
          <w:p>
            <w:pPr>
              <w:widowControl/>
              <w:jc w:val="center"/>
              <w:textAlignment w:val="center"/>
              <w:rPr>
                <w:rFonts w:ascii="宋体" w:hAnsi="宋体" w:cs="宋体"/>
                <w:sz w:val="18"/>
                <w:szCs w:val="18"/>
              </w:rPr>
            </w:pPr>
            <w:r>
              <w:rPr>
                <w:rFonts w:hint="eastAsia" w:ascii="宋体" w:hAnsi="宋体" w:cs="宋体"/>
                <w:kern w:val="0"/>
                <w:sz w:val="20"/>
                <w:szCs w:val="20"/>
                <w:lang w:bidi="ar"/>
              </w:rPr>
              <w:t>全国大学生电子设计竞赛</w:t>
            </w:r>
          </w:p>
        </w:tc>
        <w:tc>
          <w:tcPr>
            <w:tcW w:w="4322" w:type="dxa"/>
            <w:vAlign w:val="center"/>
          </w:tcPr>
          <w:p>
            <w:pPr>
              <w:widowControl/>
              <w:jc w:val="center"/>
              <w:textAlignment w:val="center"/>
              <w:rPr>
                <w:sz w:val="18"/>
                <w:szCs w:val="18"/>
              </w:rPr>
            </w:pPr>
            <w:r>
              <w:rPr>
                <w:rFonts w:hint="eastAsia" w:ascii="宋体" w:hAnsi="宋体" w:cs="宋体"/>
                <w:kern w:val="0"/>
                <w:sz w:val="20"/>
                <w:szCs w:val="20"/>
                <w:lang w:bidi="ar"/>
              </w:rPr>
              <w:t>教育部、财政部“质量工程”支持</w:t>
            </w:r>
          </w:p>
        </w:tc>
        <w:tc>
          <w:tcPr>
            <w:tcW w:w="1134" w:type="dxa"/>
            <w:vAlign w:val="center"/>
          </w:tcPr>
          <w:p>
            <w:pPr>
              <w:spacing w:line="384" w:lineRule="atLeast"/>
              <w:jc w:val="center"/>
              <w:rPr>
                <w:sz w:val="20"/>
                <w:szCs w:val="20"/>
              </w:rPr>
            </w:pPr>
            <w:r>
              <w:rPr>
                <w:sz w:val="20"/>
                <w:szCs w:val="20"/>
              </w:rPr>
              <w:t>国家级A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jc w:val="center"/>
              <w:rPr>
                <w:sz w:val="22"/>
                <w:szCs w:val="22"/>
              </w:rPr>
            </w:pPr>
            <w:r>
              <w:rPr>
                <w:sz w:val="22"/>
                <w:szCs w:val="22"/>
              </w:rPr>
              <w:t>4</w:t>
            </w:r>
          </w:p>
        </w:tc>
        <w:tc>
          <w:tcPr>
            <w:tcW w:w="3822" w:type="dxa"/>
            <w:vAlign w:val="center"/>
          </w:tcPr>
          <w:p>
            <w:pPr>
              <w:widowControl/>
              <w:jc w:val="center"/>
              <w:textAlignment w:val="center"/>
              <w:rPr>
                <w:rFonts w:ascii="宋体" w:hAnsi="宋体" w:cs="宋体"/>
                <w:sz w:val="18"/>
                <w:szCs w:val="18"/>
              </w:rPr>
            </w:pPr>
            <w:r>
              <w:rPr>
                <w:rFonts w:hint="eastAsia" w:ascii="宋体" w:hAnsi="宋体" w:cs="宋体"/>
                <w:kern w:val="0"/>
                <w:sz w:val="20"/>
                <w:szCs w:val="20"/>
                <w:lang w:bidi="ar"/>
              </w:rPr>
              <w:t>全国大学生工程训练综合技能竞赛</w:t>
            </w:r>
          </w:p>
        </w:tc>
        <w:tc>
          <w:tcPr>
            <w:tcW w:w="4322" w:type="dxa"/>
            <w:vAlign w:val="center"/>
          </w:tcPr>
          <w:p>
            <w:pPr>
              <w:widowControl/>
              <w:jc w:val="center"/>
              <w:textAlignment w:val="center"/>
              <w:rPr>
                <w:rFonts w:ascii="宋体" w:hAnsi="宋体" w:cs="宋体"/>
                <w:sz w:val="18"/>
                <w:szCs w:val="18"/>
              </w:rPr>
            </w:pPr>
            <w:r>
              <w:rPr>
                <w:rFonts w:hint="eastAsia" w:ascii="宋体" w:hAnsi="宋体" w:cs="宋体"/>
                <w:kern w:val="0"/>
                <w:sz w:val="20"/>
                <w:szCs w:val="20"/>
                <w:lang w:bidi="ar"/>
              </w:rPr>
              <w:t>教育部、财政部“质量工程”支持</w:t>
            </w:r>
          </w:p>
        </w:tc>
        <w:tc>
          <w:tcPr>
            <w:tcW w:w="1134" w:type="dxa"/>
            <w:vAlign w:val="center"/>
          </w:tcPr>
          <w:p>
            <w:pPr>
              <w:spacing w:line="384" w:lineRule="atLeast"/>
              <w:jc w:val="center"/>
              <w:rPr>
                <w:sz w:val="20"/>
                <w:szCs w:val="20"/>
              </w:rPr>
            </w:pPr>
            <w:r>
              <w:rPr>
                <w:sz w:val="20"/>
                <w:szCs w:val="20"/>
              </w:rPr>
              <w:t>国家级A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jc w:val="center"/>
              <w:rPr>
                <w:sz w:val="22"/>
                <w:szCs w:val="22"/>
              </w:rPr>
            </w:pPr>
            <w:r>
              <w:rPr>
                <w:sz w:val="22"/>
                <w:szCs w:val="22"/>
              </w:rPr>
              <w:t>5</w:t>
            </w:r>
          </w:p>
        </w:tc>
        <w:tc>
          <w:tcPr>
            <w:tcW w:w="3822" w:type="dxa"/>
            <w:vAlign w:val="center"/>
          </w:tcPr>
          <w:p>
            <w:pPr>
              <w:widowControl/>
              <w:jc w:val="center"/>
              <w:textAlignment w:val="center"/>
              <w:rPr>
                <w:sz w:val="18"/>
                <w:szCs w:val="18"/>
              </w:rPr>
            </w:pPr>
            <w:r>
              <w:rPr>
                <w:rFonts w:hint="eastAsia" w:ascii="宋体" w:hAnsi="宋体" w:cs="宋体"/>
                <w:kern w:val="0"/>
                <w:sz w:val="20"/>
                <w:szCs w:val="20"/>
                <w:lang w:bidi="ar"/>
              </w:rPr>
              <w:t>全国大学生数学建模竞赛</w:t>
            </w:r>
          </w:p>
        </w:tc>
        <w:tc>
          <w:tcPr>
            <w:tcW w:w="4322" w:type="dxa"/>
            <w:vAlign w:val="center"/>
          </w:tcPr>
          <w:p>
            <w:pPr>
              <w:widowControl/>
              <w:jc w:val="center"/>
              <w:textAlignment w:val="center"/>
              <w:rPr>
                <w:sz w:val="20"/>
                <w:szCs w:val="20"/>
              </w:rPr>
            </w:pPr>
            <w:r>
              <w:rPr>
                <w:rFonts w:hint="eastAsia" w:ascii="宋体" w:hAnsi="宋体" w:cs="宋体"/>
                <w:kern w:val="0"/>
                <w:sz w:val="20"/>
                <w:szCs w:val="20"/>
                <w:lang w:bidi="ar"/>
              </w:rPr>
              <w:t>教育部、财政部“质量工程”支持</w:t>
            </w:r>
          </w:p>
        </w:tc>
        <w:tc>
          <w:tcPr>
            <w:tcW w:w="1134" w:type="dxa"/>
            <w:vAlign w:val="center"/>
          </w:tcPr>
          <w:p>
            <w:pPr>
              <w:spacing w:line="384" w:lineRule="atLeast"/>
              <w:jc w:val="center"/>
              <w:rPr>
                <w:sz w:val="20"/>
                <w:szCs w:val="20"/>
              </w:rPr>
            </w:pPr>
            <w:r>
              <w:rPr>
                <w:sz w:val="20"/>
                <w:szCs w:val="20"/>
              </w:rPr>
              <w:t>国家级A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spacing w:line="384" w:lineRule="atLeast"/>
              <w:jc w:val="center"/>
              <w:rPr>
                <w:sz w:val="22"/>
                <w:szCs w:val="22"/>
              </w:rPr>
            </w:pPr>
            <w:r>
              <w:rPr>
                <w:sz w:val="22"/>
                <w:szCs w:val="22"/>
              </w:rPr>
              <w:t>6</w:t>
            </w:r>
          </w:p>
        </w:tc>
        <w:tc>
          <w:tcPr>
            <w:tcW w:w="3822" w:type="dxa"/>
            <w:vAlign w:val="center"/>
          </w:tcPr>
          <w:p>
            <w:pPr>
              <w:widowControl/>
              <w:jc w:val="center"/>
              <w:textAlignment w:val="center"/>
              <w:rPr>
                <w:rFonts w:ascii="宋体" w:hAnsi="宋体" w:cs="宋体"/>
                <w:sz w:val="18"/>
                <w:szCs w:val="18"/>
              </w:rPr>
            </w:pPr>
            <w:r>
              <w:rPr>
                <w:rFonts w:hint="eastAsia" w:ascii="宋体" w:hAnsi="宋体" w:cs="宋体"/>
                <w:kern w:val="0"/>
                <w:sz w:val="20"/>
                <w:szCs w:val="20"/>
                <w:lang w:bidi="ar"/>
              </w:rPr>
              <w:t>“西门子杯”中国智能制造挑战赛</w:t>
            </w:r>
          </w:p>
        </w:tc>
        <w:tc>
          <w:tcPr>
            <w:tcW w:w="4322" w:type="dxa"/>
            <w:vAlign w:val="center"/>
          </w:tcPr>
          <w:p>
            <w:pPr>
              <w:widowControl/>
              <w:jc w:val="center"/>
              <w:textAlignment w:val="center"/>
              <w:rPr>
                <w:rFonts w:ascii="宋体" w:hAnsi="宋体" w:cs="宋体"/>
                <w:sz w:val="18"/>
                <w:szCs w:val="18"/>
              </w:rPr>
            </w:pPr>
            <w:r>
              <w:rPr>
                <w:rFonts w:hint="eastAsia" w:ascii="宋体" w:hAnsi="宋体" w:cs="宋体"/>
                <w:kern w:val="0"/>
                <w:sz w:val="20"/>
                <w:szCs w:val="20"/>
                <w:lang w:bidi="ar"/>
              </w:rPr>
              <w:t>教育部、财政部“质量工程”支持</w:t>
            </w:r>
          </w:p>
        </w:tc>
        <w:tc>
          <w:tcPr>
            <w:tcW w:w="1134" w:type="dxa"/>
            <w:vAlign w:val="center"/>
          </w:tcPr>
          <w:p>
            <w:pPr>
              <w:spacing w:line="384" w:lineRule="atLeast"/>
              <w:jc w:val="center"/>
              <w:rPr>
                <w:sz w:val="20"/>
                <w:szCs w:val="20"/>
              </w:rPr>
            </w:pPr>
            <w:r>
              <w:rPr>
                <w:sz w:val="20"/>
                <w:szCs w:val="20"/>
              </w:rPr>
              <w:t>国家级A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jc w:val="center"/>
              <w:rPr>
                <w:sz w:val="22"/>
                <w:szCs w:val="22"/>
              </w:rPr>
            </w:pPr>
            <w:r>
              <w:rPr>
                <w:sz w:val="22"/>
                <w:szCs w:val="22"/>
              </w:rPr>
              <w:t>7</w:t>
            </w:r>
          </w:p>
        </w:tc>
        <w:tc>
          <w:tcPr>
            <w:tcW w:w="3822" w:type="dxa"/>
            <w:vAlign w:val="center"/>
          </w:tcPr>
          <w:p>
            <w:pPr>
              <w:widowControl/>
              <w:jc w:val="center"/>
              <w:textAlignment w:val="center"/>
              <w:rPr>
                <w:sz w:val="18"/>
                <w:szCs w:val="18"/>
              </w:rPr>
            </w:pPr>
            <w:r>
              <w:rPr>
                <w:rFonts w:hint="eastAsia" w:ascii="宋体" w:hAnsi="宋体" w:cs="宋体"/>
                <w:kern w:val="0"/>
                <w:sz w:val="20"/>
                <w:szCs w:val="20"/>
                <w:lang w:bidi="ar"/>
              </w:rPr>
              <w:t>“挑战杯”全国大学生课外学术科技作品竞赛</w:t>
            </w:r>
          </w:p>
        </w:tc>
        <w:tc>
          <w:tcPr>
            <w:tcW w:w="4322" w:type="dxa"/>
            <w:vAlign w:val="center"/>
          </w:tcPr>
          <w:p>
            <w:pPr>
              <w:widowControl/>
              <w:jc w:val="center"/>
              <w:textAlignment w:val="center"/>
              <w:rPr>
                <w:sz w:val="18"/>
                <w:szCs w:val="18"/>
              </w:rPr>
            </w:pPr>
            <w:r>
              <w:rPr>
                <w:rFonts w:hint="eastAsia" w:ascii="宋体" w:hAnsi="宋体" w:cs="宋体"/>
                <w:kern w:val="0"/>
                <w:sz w:val="20"/>
                <w:szCs w:val="20"/>
                <w:lang w:bidi="ar"/>
              </w:rPr>
              <w:t>教育部等部委</w:t>
            </w:r>
          </w:p>
        </w:tc>
        <w:tc>
          <w:tcPr>
            <w:tcW w:w="1134" w:type="dxa"/>
            <w:vAlign w:val="center"/>
          </w:tcPr>
          <w:p>
            <w:pPr>
              <w:spacing w:line="384" w:lineRule="atLeast"/>
              <w:jc w:val="center"/>
              <w:rPr>
                <w:sz w:val="20"/>
                <w:szCs w:val="20"/>
              </w:rPr>
            </w:pPr>
            <w:r>
              <w:rPr>
                <w:sz w:val="20"/>
                <w:szCs w:val="20"/>
              </w:rPr>
              <w:t>国家级A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spacing w:line="384" w:lineRule="atLeast"/>
              <w:jc w:val="center"/>
              <w:rPr>
                <w:rFonts w:ascii="宋体" w:hAnsi="宋体" w:cs="宋体"/>
                <w:szCs w:val="21"/>
              </w:rPr>
            </w:pPr>
            <w:r>
              <w:rPr>
                <w:b/>
                <w:sz w:val="18"/>
                <w:szCs w:val="18"/>
              </w:rPr>
              <w:t>序号</w:t>
            </w:r>
          </w:p>
        </w:tc>
        <w:tc>
          <w:tcPr>
            <w:tcW w:w="3822" w:type="dxa"/>
            <w:vAlign w:val="center"/>
          </w:tcPr>
          <w:p>
            <w:pPr>
              <w:spacing w:line="384" w:lineRule="atLeast"/>
              <w:jc w:val="center"/>
              <w:rPr>
                <w:sz w:val="18"/>
                <w:szCs w:val="18"/>
              </w:rPr>
            </w:pPr>
            <w:r>
              <w:rPr>
                <w:b/>
                <w:sz w:val="18"/>
                <w:szCs w:val="18"/>
              </w:rPr>
              <w:t>竞赛名称</w:t>
            </w:r>
          </w:p>
        </w:tc>
        <w:tc>
          <w:tcPr>
            <w:tcW w:w="4322" w:type="dxa"/>
            <w:vAlign w:val="center"/>
          </w:tcPr>
          <w:p>
            <w:pPr>
              <w:spacing w:line="384" w:lineRule="atLeast"/>
              <w:jc w:val="center"/>
              <w:rPr>
                <w:sz w:val="18"/>
                <w:szCs w:val="18"/>
              </w:rPr>
            </w:pPr>
            <w:r>
              <w:rPr>
                <w:b/>
                <w:sz w:val="18"/>
                <w:szCs w:val="18"/>
              </w:rPr>
              <w:t>主办单位</w:t>
            </w:r>
          </w:p>
        </w:tc>
        <w:tc>
          <w:tcPr>
            <w:tcW w:w="1134" w:type="dxa"/>
            <w:vAlign w:val="center"/>
          </w:tcPr>
          <w:p>
            <w:pPr>
              <w:spacing w:line="384" w:lineRule="atLeast"/>
              <w:jc w:val="center"/>
              <w:rPr>
                <w:sz w:val="20"/>
                <w:szCs w:val="20"/>
              </w:rPr>
            </w:pPr>
            <w:r>
              <w:rPr>
                <w:b/>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sz w:val="18"/>
                <w:szCs w:val="18"/>
              </w:rPr>
            </w:pPr>
            <w:r>
              <w:rPr>
                <w:kern w:val="0"/>
                <w:sz w:val="22"/>
                <w:szCs w:val="22"/>
                <w:lang w:bidi="ar"/>
              </w:rPr>
              <w:t>1</w:t>
            </w:r>
          </w:p>
        </w:tc>
        <w:tc>
          <w:tcPr>
            <w:tcW w:w="3822" w:type="dxa"/>
            <w:vAlign w:val="center"/>
          </w:tcPr>
          <w:p>
            <w:pPr>
              <w:spacing w:line="384" w:lineRule="atLeast"/>
              <w:jc w:val="center"/>
              <w:rPr>
                <w:sz w:val="18"/>
                <w:szCs w:val="18"/>
              </w:rPr>
            </w:pPr>
            <w:r>
              <w:rPr>
                <w:rFonts w:hint="eastAsia"/>
                <w:sz w:val="18"/>
                <w:szCs w:val="18"/>
              </w:rPr>
              <w:t>国际大学生数学建模竞赛</w:t>
            </w:r>
          </w:p>
        </w:tc>
        <w:tc>
          <w:tcPr>
            <w:tcW w:w="4322" w:type="dxa"/>
            <w:vAlign w:val="center"/>
          </w:tcPr>
          <w:p>
            <w:pPr>
              <w:spacing w:line="540" w:lineRule="exact"/>
              <w:jc w:val="center"/>
              <w:rPr>
                <w:sz w:val="20"/>
                <w:szCs w:val="20"/>
              </w:rPr>
            </w:pPr>
            <w:r>
              <w:rPr>
                <w:rFonts w:hint="eastAsia"/>
                <w:sz w:val="20"/>
                <w:szCs w:val="20"/>
              </w:rPr>
              <w:t>美国数学及其应用联合会（COMAP）和美国工业与应用数学学会（SIAM）</w:t>
            </w:r>
          </w:p>
        </w:tc>
        <w:tc>
          <w:tcPr>
            <w:tcW w:w="1134" w:type="dxa"/>
            <w:vAlign w:val="center"/>
          </w:tcPr>
          <w:p>
            <w:pPr>
              <w:spacing w:line="384" w:lineRule="atLeast"/>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2</w:t>
            </w:r>
          </w:p>
        </w:tc>
        <w:tc>
          <w:tcPr>
            <w:tcW w:w="3822" w:type="dxa"/>
            <w:vAlign w:val="center"/>
          </w:tcPr>
          <w:p>
            <w:pPr>
              <w:spacing w:line="384" w:lineRule="atLeast"/>
              <w:jc w:val="center"/>
              <w:rPr>
                <w:sz w:val="18"/>
                <w:szCs w:val="18"/>
              </w:rPr>
            </w:pPr>
            <w:r>
              <w:rPr>
                <w:sz w:val="18"/>
                <w:szCs w:val="18"/>
              </w:rPr>
              <w:t>全国计算机仿真大奖赛</w:t>
            </w:r>
          </w:p>
        </w:tc>
        <w:tc>
          <w:tcPr>
            <w:tcW w:w="4322" w:type="dxa"/>
            <w:vAlign w:val="center"/>
          </w:tcPr>
          <w:p>
            <w:pPr>
              <w:spacing w:line="384" w:lineRule="atLeast"/>
              <w:jc w:val="center"/>
              <w:rPr>
                <w:sz w:val="18"/>
                <w:szCs w:val="18"/>
              </w:rPr>
            </w:pPr>
            <w:r>
              <w:rPr>
                <w:sz w:val="18"/>
                <w:szCs w:val="18"/>
              </w:rPr>
              <w:t>教育部高教司、中国自动化学会、中国计算机用户协会、中国系统仿真学会、总装仿真技术组</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3</w:t>
            </w:r>
          </w:p>
        </w:tc>
        <w:tc>
          <w:tcPr>
            <w:tcW w:w="3822" w:type="dxa"/>
            <w:vAlign w:val="center"/>
          </w:tcPr>
          <w:p>
            <w:pPr>
              <w:spacing w:line="384" w:lineRule="atLeast"/>
              <w:jc w:val="center"/>
              <w:rPr>
                <w:sz w:val="18"/>
                <w:szCs w:val="18"/>
              </w:rPr>
            </w:pPr>
            <w:r>
              <w:rPr>
                <w:sz w:val="20"/>
                <w:szCs w:val="20"/>
              </w:rPr>
              <w:t>全国大学生信息安全大赛</w:t>
            </w:r>
          </w:p>
        </w:tc>
        <w:tc>
          <w:tcPr>
            <w:tcW w:w="4322" w:type="dxa"/>
            <w:vAlign w:val="center"/>
          </w:tcPr>
          <w:p>
            <w:pPr>
              <w:spacing w:line="384" w:lineRule="atLeast"/>
              <w:jc w:val="center"/>
              <w:rPr>
                <w:sz w:val="18"/>
                <w:szCs w:val="18"/>
              </w:rPr>
            </w:pPr>
            <w:r>
              <w:rPr>
                <w:sz w:val="20"/>
                <w:szCs w:val="20"/>
              </w:rPr>
              <w:t>教育部高等学校信息安全类专业教学指导委员会</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4</w:t>
            </w:r>
          </w:p>
        </w:tc>
        <w:tc>
          <w:tcPr>
            <w:tcW w:w="3822" w:type="dxa"/>
            <w:vAlign w:val="center"/>
          </w:tcPr>
          <w:p>
            <w:pPr>
              <w:widowControl/>
              <w:jc w:val="center"/>
              <w:textAlignment w:val="center"/>
              <w:rPr>
                <w:bCs/>
                <w:sz w:val="18"/>
                <w:szCs w:val="18"/>
              </w:rPr>
            </w:pPr>
            <w:r>
              <w:rPr>
                <w:rFonts w:hint="eastAsia" w:ascii="宋体" w:hAnsi="宋体" w:cs="宋体"/>
                <w:kern w:val="0"/>
                <w:sz w:val="20"/>
                <w:szCs w:val="20"/>
                <w:lang w:bidi="ar"/>
              </w:rPr>
              <w:t>中国高校计算机大赛</w:t>
            </w:r>
          </w:p>
        </w:tc>
        <w:tc>
          <w:tcPr>
            <w:tcW w:w="4322" w:type="dxa"/>
            <w:vAlign w:val="center"/>
          </w:tcPr>
          <w:p>
            <w:pPr>
              <w:spacing w:line="384" w:lineRule="atLeast"/>
              <w:jc w:val="center"/>
              <w:rPr>
                <w:bCs/>
                <w:sz w:val="18"/>
                <w:szCs w:val="18"/>
              </w:rPr>
            </w:pPr>
            <w:r>
              <w:rPr>
                <w:rFonts w:hint="eastAsia"/>
                <w:bCs/>
                <w:sz w:val="18"/>
                <w:szCs w:val="18"/>
              </w:rPr>
              <w:t>教育部高等学校计算机类专业教学指导委员会、教育部高等学校软件工程专业教学指导委员会、教育部高等学校大学计算机课程教学指导委员会、全国高等学校计算机教育研究会</w:t>
            </w:r>
          </w:p>
        </w:tc>
        <w:tc>
          <w:tcPr>
            <w:tcW w:w="1134" w:type="dxa"/>
            <w:vAlign w:val="center"/>
          </w:tcPr>
          <w:p>
            <w:pPr>
              <w:spacing w:line="384" w:lineRule="atLeast"/>
              <w:jc w:val="center"/>
              <w:rPr>
                <w:bCs/>
                <w:sz w:val="18"/>
                <w:szCs w:val="18"/>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5</w:t>
            </w:r>
          </w:p>
        </w:tc>
        <w:tc>
          <w:tcPr>
            <w:tcW w:w="3822" w:type="dxa"/>
            <w:vAlign w:val="center"/>
          </w:tcPr>
          <w:p>
            <w:pPr>
              <w:widowControl/>
              <w:jc w:val="center"/>
              <w:textAlignment w:val="center"/>
              <w:rPr>
                <w:bCs/>
                <w:sz w:val="18"/>
                <w:szCs w:val="18"/>
              </w:rPr>
            </w:pPr>
            <w:r>
              <w:rPr>
                <w:rFonts w:hint="eastAsia" w:ascii="宋体" w:hAnsi="宋体" w:cs="宋体"/>
                <w:kern w:val="0"/>
                <w:sz w:val="20"/>
                <w:szCs w:val="20"/>
                <w:lang w:bidi="ar"/>
              </w:rPr>
              <w:t>RACV中国计算机视觉与应用专题竞赛</w:t>
            </w:r>
          </w:p>
        </w:tc>
        <w:tc>
          <w:tcPr>
            <w:tcW w:w="4322" w:type="dxa"/>
            <w:vAlign w:val="center"/>
          </w:tcPr>
          <w:p>
            <w:pPr>
              <w:spacing w:line="384" w:lineRule="atLeast"/>
              <w:jc w:val="center"/>
              <w:rPr>
                <w:bCs/>
                <w:sz w:val="18"/>
                <w:szCs w:val="18"/>
              </w:rPr>
            </w:pPr>
            <w:r>
              <w:rPr>
                <w:rFonts w:hint="eastAsia"/>
                <w:bCs/>
                <w:sz w:val="18"/>
                <w:szCs w:val="18"/>
              </w:rPr>
              <w:t>中国计算机学会(CCF)</w:t>
            </w:r>
          </w:p>
        </w:tc>
        <w:tc>
          <w:tcPr>
            <w:tcW w:w="1134" w:type="dxa"/>
            <w:vAlign w:val="center"/>
          </w:tcPr>
          <w:p>
            <w:pPr>
              <w:spacing w:line="384" w:lineRule="atLeast"/>
              <w:jc w:val="center"/>
              <w:rPr>
                <w:bCs/>
                <w:sz w:val="18"/>
                <w:szCs w:val="18"/>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rFonts w:hint="eastAsia"/>
                <w:bCs/>
                <w:sz w:val="18"/>
                <w:szCs w:val="18"/>
              </w:rPr>
              <w:t>6</w:t>
            </w:r>
          </w:p>
        </w:tc>
        <w:tc>
          <w:tcPr>
            <w:tcW w:w="3822" w:type="dxa"/>
            <w:vAlign w:val="center"/>
          </w:tcPr>
          <w:p>
            <w:pPr>
              <w:spacing w:line="384" w:lineRule="atLeast"/>
              <w:jc w:val="center"/>
              <w:rPr>
                <w:bCs/>
                <w:sz w:val="18"/>
                <w:szCs w:val="18"/>
              </w:rPr>
            </w:pPr>
            <w:r>
              <w:rPr>
                <w:rFonts w:hint="eastAsia"/>
                <w:bCs/>
                <w:sz w:val="18"/>
                <w:szCs w:val="18"/>
              </w:rPr>
              <w:t>全国大学生物联网设计竞赛（TI杯）</w:t>
            </w:r>
          </w:p>
        </w:tc>
        <w:tc>
          <w:tcPr>
            <w:tcW w:w="4322" w:type="dxa"/>
            <w:vAlign w:val="center"/>
          </w:tcPr>
          <w:p>
            <w:pPr>
              <w:spacing w:line="384" w:lineRule="atLeast"/>
              <w:jc w:val="center"/>
              <w:rPr>
                <w:bCs/>
                <w:sz w:val="18"/>
                <w:szCs w:val="18"/>
              </w:rPr>
            </w:pPr>
            <w:r>
              <w:rPr>
                <w:rFonts w:hint="eastAsia"/>
                <w:bCs/>
                <w:sz w:val="18"/>
                <w:szCs w:val="18"/>
              </w:rPr>
              <w:t>教育部高等学校计算机类专业教学指导委员会</w:t>
            </w:r>
          </w:p>
        </w:tc>
        <w:tc>
          <w:tcPr>
            <w:tcW w:w="1134" w:type="dxa"/>
            <w:vAlign w:val="center"/>
          </w:tcPr>
          <w:p>
            <w:pPr>
              <w:spacing w:line="384" w:lineRule="atLeast"/>
              <w:jc w:val="center"/>
              <w:rPr>
                <w:bCs/>
                <w:sz w:val="18"/>
                <w:szCs w:val="18"/>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7</w:t>
            </w:r>
          </w:p>
        </w:tc>
        <w:tc>
          <w:tcPr>
            <w:tcW w:w="3822" w:type="dxa"/>
            <w:vAlign w:val="center"/>
          </w:tcPr>
          <w:p>
            <w:pPr>
              <w:spacing w:line="384" w:lineRule="atLeast"/>
              <w:jc w:val="center"/>
              <w:rPr>
                <w:bCs/>
                <w:sz w:val="18"/>
                <w:szCs w:val="18"/>
              </w:rPr>
            </w:pPr>
            <w:r>
              <w:rPr>
                <w:rFonts w:hint="eastAsia"/>
                <w:bCs/>
                <w:sz w:val="18"/>
                <w:szCs w:val="18"/>
              </w:rPr>
              <w:t>全国软件与信息技术专业人才大赛</w:t>
            </w:r>
          </w:p>
        </w:tc>
        <w:tc>
          <w:tcPr>
            <w:tcW w:w="4322" w:type="dxa"/>
            <w:vAlign w:val="center"/>
          </w:tcPr>
          <w:p>
            <w:pPr>
              <w:spacing w:line="384" w:lineRule="atLeast"/>
              <w:jc w:val="center"/>
              <w:rPr>
                <w:bCs/>
                <w:sz w:val="18"/>
                <w:szCs w:val="18"/>
              </w:rPr>
            </w:pPr>
            <w:r>
              <w:rPr>
                <w:rFonts w:hint="eastAsia"/>
                <w:bCs/>
                <w:sz w:val="18"/>
                <w:szCs w:val="18"/>
              </w:rPr>
              <w:t>工业和信息化部人才交流中心，教育部就业指导中心</w:t>
            </w:r>
          </w:p>
        </w:tc>
        <w:tc>
          <w:tcPr>
            <w:tcW w:w="1134" w:type="dxa"/>
            <w:vAlign w:val="center"/>
          </w:tcPr>
          <w:p>
            <w:pPr>
              <w:spacing w:line="384" w:lineRule="atLeast"/>
              <w:jc w:val="center"/>
              <w:rPr>
                <w:bCs/>
                <w:sz w:val="18"/>
                <w:szCs w:val="18"/>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8</w:t>
            </w:r>
          </w:p>
        </w:tc>
        <w:tc>
          <w:tcPr>
            <w:tcW w:w="3822" w:type="dxa"/>
            <w:vAlign w:val="center"/>
          </w:tcPr>
          <w:p>
            <w:pPr>
              <w:spacing w:line="384" w:lineRule="atLeast"/>
              <w:jc w:val="center"/>
              <w:rPr>
                <w:sz w:val="18"/>
                <w:szCs w:val="18"/>
              </w:rPr>
            </w:pPr>
            <w:r>
              <w:rPr>
                <w:rFonts w:hint="eastAsia"/>
                <w:sz w:val="18"/>
                <w:szCs w:val="18"/>
              </w:rPr>
              <w:t>全国无线电测向锦标赛</w:t>
            </w:r>
          </w:p>
        </w:tc>
        <w:tc>
          <w:tcPr>
            <w:tcW w:w="4322" w:type="dxa"/>
            <w:vAlign w:val="center"/>
          </w:tcPr>
          <w:p>
            <w:pPr>
              <w:spacing w:line="384" w:lineRule="atLeast"/>
              <w:jc w:val="center"/>
              <w:rPr>
                <w:sz w:val="18"/>
                <w:szCs w:val="18"/>
              </w:rPr>
            </w:pPr>
            <w:r>
              <w:rPr>
                <w:rFonts w:ascii="ˎ̥" w:hAnsi="ˎ̥"/>
                <w:sz w:val="18"/>
                <w:szCs w:val="18"/>
              </w:rPr>
              <w:t>国家体育总局航空无线电模型运动管理中心</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9</w:t>
            </w:r>
          </w:p>
        </w:tc>
        <w:tc>
          <w:tcPr>
            <w:tcW w:w="3822" w:type="dxa"/>
            <w:vAlign w:val="center"/>
          </w:tcPr>
          <w:p>
            <w:pPr>
              <w:spacing w:line="384" w:lineRule="atLeast"/>
              <w:jc w:val="center"/>
              <w:rPr>
                <w:sz w:val="18"/>
                <w:szCs w:val="18"/>
              </w:rPr>
            </w:pPr>
            <w:r>
              <w:rPr>
                <w:rFonts w:hint="eastAsia"/>
                <w:sz w:val="18"/>
                <w:szCs w:val="18"/>
              </w:rPr>
              <w:t>“毕昇杯”全国电子创新设计竞赛</w:t>
            </w:r>
          </w:p>
        </w:tc>
        <w:tc>
          <w:tcPr>
            <w:tcW w:w="4322" w:type="dxa"/>
            <w:vAlign w:val="center"/>
          </w:tcPr>
          <w:p>
            <w:pPr>
              <w:spacing w:line="384" w:lineRule="atLeast"/>
              <w:jc w:val="center"/>
              <w:rPr>
                <w:sz w:val="18"/>
                <w:szCs w:val="18"/>
              </w:rPr>
            </w:pPr>
            <w:r>
              <w:rPr>
                <w:sz w:val="18"/>
                <w:szCs w:val="18"/>
              </w:rPr>
              <w:t>北京精仪达盛科技有限公司</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10</w:t>
            </w:r>
          </w:p>
        </w:tc>
        <w:tc>
          <w:tcPr>
            <w:tcW w:w="3822" w:type="dxa"/>
            <w:vAlign w:val="center"/>
          </w:tcPr>
          <w:p>
            <w:pPr>
              <w:spacing w:line="384" w:lineRule="atLeast"/>
              <w:jc w:val="center"/>
              <w:rPr>
                <w:sz w:val="18"/>
                <w:szCs w:val="18"/>
              </w:rPr>
            </w:pPr>
            <w:r>
              <w:rPr>
                <w:rFonts w:hint="eastAsia"/>
                <w:sz w:val="18"/>
                <w:szCs w:val="18"/>
              </w:rPr>
              <w:t>ACM/ICPC国际大学生计算机程序设计竞赛亚洲区域赛</w:t>
            </w:r>
          </w:p>
        </w:tc>
        <w:tc>
          <w:tcPr>
            <w:tcW w:w="4322" w:type="dxa"/>
            <w:vAlign w:val="center"/>
          </w:tcPr>
          <w:p>
            <w:pPr>
              <w:spacing w:line="384" w:lineRule="atLeast"/>
              <w:jc w:val="center"/>
              <w:rPr>
                <w:sz w:val="18"/>
                <w:szCs w:val="18"/>
              </w:rPr>
            </w:pPr>
            <w:r>
              <w:rPr>
                <w:rFonts w:hint="eastAsia"/>
                <w:sz w:val="18"/>
                <w:szCs w:val="18"/>
              </w:rPr>
              <w:t>ACM（美国计算机协会）</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11</w:t>
            </w:r>
          </w:p>
        </w:tc>
        <w:tc>
          <w:tcPr>
            <w:tcW w:w="3822" w:type="dxa"/>
            <w:vAlign w:val="center"/>
          </w:tcPr>
          <w:p>
            <w:pPr>
              <w:spacing w:line="384" w:lineRule="atLeast"/>
              <w:jc w:val="center"/>
              <w:rPr>
                <w:sz w:val="18"/>
                <w:szCs w:val="18"/>
              </w:rPr>
            </w:pPr>
            <w:r>
              <w:rPr>
                <w:rFonts w:hint="eastAsia"/>
                <w:sz w:val="18"/>
                <w:szCs w:val="18"/>
              </w:rPr>
              <w:t>中国机器人大赛暨RoboCup公开赛</w:t>
            </w:r>
          </w:p>
        </w:tc>
        <w:tc>
          <w:tcPr>
            <w:tcW w:w="4322" w:type="dxa"/>
            <w:vAlign w:val="center"/>
          </w:tcPr>
          <w:p>
            <w:pPr>
              <w:spacing w:line="384" w:lineRule="atLeast"/>
              <w:jc w:val="center"/>
              <w:rPr>
                <w:sz w:val="18"/>
                <w:szCs w:val="18"/>
              </w:rPr>
            </w:pPr>
            <w:r>
              <w:rPr>
                <w:rFonts w:ascii="ˎ̥" w:hAnsi="ˎ̥"/>
                <w:sz w:val="18"/>
                <w:szCs w:val="18"/>
              </w:rPr>
              <w:t>中国自动化学会机器人竞赛工作委员会</w:t>
            </w:r>
            <w:r>
              <w:rPr>
                <w:rFonts w:hint="eastAsia" w:ascii="ˎ̥" w:hAnsi="ˎ̥"/>
                <w:sz w:val="18"/>
                <w:szCs w:val="18"/>
              </w:rPr>
              <w:t>、</w:t>
            </w:r>
            <w:r>
              <w:rPr>
                <w:rFonts w:ascii="ˎ̥" w:hAnsi="ˎ̥"/>
                <w:sz w:val="18"/>
                <w:szCs w:val="18"/>
              </w:rPr>
              <w:t>RoboCup中国委员会</w:t>
            </w:r>
            <w:r>
              <w:rPr>
                <w:rFonts w:hint="eastAsia" w:ascii="ˎ̥" w:hAnsi="ˎ̥"/>
                <w:sz w:val="18"/>
                <w:szCs w:val="18"/>
              </w:rPr>
              <w:t>、</w:t>
            </w:r>
            <w:r>
              <w:rPr>
                <w:rFonts w:ascii="ˎ̥" w:hAnsi="ˎ̥"/>
                <w:sz w:val="18"/>
                <w:szCs w:val="18"/>
              </w:rPr>
              <w:t>科技部高技术研究发展中心</w:t>
            </w:r>
            <w:r>
              <w:rPr>
                <w:rFonts w:hint="eastAsia" w:ascii="ˎ̥" w:hAnsi="ˎ̥"/>
                <w:sz w:val="18"/>
                <w:szCs w:val="18"/>
              </w:rPr>
              <w:t>、</w:t>
            </w:r>
            <w:r>
              <w:rPr>
                <w:rFonts w:ascii="ˎ̥" w:hAnsi="ˎ̥"/>
                <w:sz w:val="18"/>
                <w:szCs w:val="18"/>
              </w:rPr>
              <w:t>中山市人民政府</w:t>
            </w:r>
            <w:r>
              <w:rPr>
                <w:rFonts w:hint="eastAsia" w:ascii="ˎ̥" w:hAnsi="ˎ̥"/>
                <w:sz w:val="18"/>
                <w:szCs w:val="18"/>
              </w:rPr>
              <w:t>、</w:t>
            </w:r>
            <w:r>
              <w:rPr>
                <w:rFonts w:ascii="ˎ̥" w:hAnsi="ˎ̥"/>
                <w:sz w:val="18"/>
                <w:szCs w:val="18"/>
              </w:rPr>
              <w:t>中创科技发展战略研究中心</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12</w:t>
            </w:r>
          </w:p>
        </w:tc>
        <w:tc>
          <w:tcPr>
            <w:tcW w:w="3822" w:type="dxa"/>
            <w:vAlign w:val="center"/>
          </w:tcPr>
          <w:p>
            <w:pPr>
              <w:spacing w:line="384" w:lineRule="atLeast"/>
              <w:jc w:val="center"/>
              <w:rPr>
                <w:sz w:val="18"/>
                <w:szCs w:val="18"/>
              </w:rPr>
            </w:pPr>
            <w:r>
              <w:rPr>
                <w:rFonts w:hint="eastAsia"/>
                <w:sz w:val="18"/>
                <w:szCs w:val="18"/>
              </w:rPr>
              <w:t>全国大学生计算机博弈大赛</w:t>
            </w:r>
          </w:p>
        </w:tc>
        <w:tc>
          <w:tcPr>
            <w:tcW w:w="4322" w:type="dxa"/>
            <w:vAlign w:val="center"/>
          </w:tcPr>
          <w:p>
            <w:pPr>
              <w:spacing w:line="384" w:lineRule="atLeast"/>
              <w:jc w:val="center"/>
              <w:rPr>
                <w:rFonts w:ascii="ˎ̥" w:hAnsi="ˎ̥"/>
                <w:sz w:val="18"/>
                <w:szCs w:val="18"/>
              </w:rPr>
            </w:pPr>
            <w:r>
              <w:rPr>
                <w:rFonts w:ascii="ˎ̥" w:hAnsi="ˎ̥"/>
                <w:sz w:val="18"/>
                <w:szCs w:val="18"/>
              </w:rPr>
              <w:t>教育部高等学校计算机科学与技术专业教学指导分委员会与中国人工智能学会机器博弈专业委员会</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13</w:t>
            </w:r>
          </w:p>
        </w:tc>
        <w:tc>
          <w:tcPr>
            <w:tcW w:w="3822" w:type="dxa"/>
            <w:vAlign w:val="center"/>
          </w:tcPr>
          <w:p>
            <w:pPr>
              <w:spacing w:line="384" w:lineRule="atLeast"/>
              <w:jc w:val="center"/>
              <w:rPr>
                <w:sz w:val="18"/>
                <w:szCs w:val="18"/>
              </w:rPr>
            </w:pPr>
            <w:r>
              <w:rPr>
                <w:rFonts w:hint="eastAsia"/>
                <w:sz w:val="18"/>
                <w:szCs w:val="18"/>
              </w:rPr>
              <w:t>亚洲大学生超级计算机竞赛</w:t>
            </w:r>
          </w:p>
        </w:tc>
        <w:tc>
          <w:tcPr>
            <w:tcW w:w="4322" w:type="dxa"/>
            <w:vAlign w:val="center"/>
          </w:tcPr>
          <w:p>
            <w:pPr>
              <w:spacing w:line="384" w:lineRule="atLeast"/>
              <w:jc w:val="center"/>
              <w:rPr>
                <w:sz w:val="18"/>
                <w:szCs w:val="18"/>
              </w:rPr>
            </w:pPr>
            <w:r>
              <w:rPr>
                <w:rFonts w:hint="eastAsia"/>
                <w:sz w:val="18"/>
                <w:szCs w:val="18"/>
              </w:rPr>
              <w:t>国际超级计算机大会组委会(ISC)、国际高性能计算咨询委员会（HPC AC）</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14</w:t>
            </w:r>
          </w:p>
        </w:tc>
        <w:tc>
          <w:tcPr>
            <w:tcW w:w="3822" w:type="dxa"/>
            <w:vAlign w:val="center"/>
          </w:tcPr>
          <w:p>
            <w:pPr>
              <w:spacing w:line="384" w:lineRule="atLeast"/>
              <w:jc w:val="center"/>
              <w:rPr>
                <w:sz w:val="20"/>
                <w:szCs w:val="20"/>
              </w:rPr>
            </w:pPr>
            <w:r>
              <w:rPr>
                <w:rFonts w:hint="eastAsia"/>
                <w:sz w:val="20"/>
                <w:szCs w:val="20"/>
              </w:rPr>
              <w:t>全国航模锦标赛</w:t>
            </w:r>
          </w:p>
        </w:tc>
        <w:tc>
          <w:tcPr>
            <w:tcW w:w="4322" w:type="dxa"/>
            <w:vAlign w:val="center"/>
          </w:tcPr>
          <w:p>
            <w:pPr>
              <w:spacing w:line="384" w:lineRule="atLeast"/>
              <w:jc w:val="center"/>
              <w:rPr>
                <w:sz w:val="20"/>
                <w:szCs w:val="20"/>
              </w:rPr>
            </w:pPr>
            <w:r>
              <w:rPr>
                <w:sz w:val="18"/>
                <w:szCs w:val="18"/>
              </w:rPr>
              <w:t>国家体育总局、科学技术部、教育部</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bCs/>
                <w:sz w:val="18"/>
                <w:szCs w:val="18"/>
              </w:rPr>
            </w:pPr>
            <w:r>
              <w:rPr>
                <w:kern w:val="0"/>
                <w:sz w:val="22"/>
                <w:szCs w:val="22"/>
                <w:lang w:bidi="ar"/>
              </w:rPr>
              <w:t>15</w:t>
            </w:r>
          </w:p>
        </w:tc>
        <w:tc>
          <w:tcPr>
            <w:tcW w:w="3822" w:type="dxa"/>
            <w:vAlign w:val="center"/>
          </w:tcPr>
          <w:p>
            <w:pPr>
              <w:spacing w:line="384" w:lineRule="atLeast"/>
              <w:jc w:val="center"/>
              <w:rPr>
                <w:rFonts w:ascii="宋体" w:hAnsi="宋体" w:cs="宋体"/>
                <w:sz w:val="18"/>
                <w:szCs w:val="18"/>
              </w:rPr>
            </w:pPr>
            <w:r>
              <w:rPr>
                <w:rFonts w:hint="eastAsia"/>
                <w:sz w:val="18"/>
                <w:szCs w:val="18"/>
              </w:rPr>
              <w:t>中国大学生iCAN国际创新创业大赛</w:t>
            </w:r>
          </w:p>
        </w:tc>
        <w:tc>
          <w:tcPr>
            <w:tcW w:w="4322" w:type="dxa"/>
            <w:vAlign w:val="center"/>
          </w:tcPr>
          <w:p>
            <w:pPr>
              <w:spacing w:line="384" w:lineRule="atLeast"/>
              <w:jc w:val="center"/>
              <w:rPr>
                <w:rFonts w:ascii="宋体" w:hAnsi="宋体" w:cs="宋体"/>
                <w:sz w:val="18"/>
                <w:szCs w:val="18"/>
              </w:rPr>
            </w:pPr>
            <w:r>
              <w:rPr>
                <w:sz w:val="18"/>
                <w:szCs w:val="18"/>
              </w:rPr>
              <w:t>教育部理工科教学指导委员会(机械\电子\计算机)</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szCs w:val="21"/>
              </w:rPr>
            </w:pPr>
            <w:r>
              <w:rPr>
                <w:kern w:val="0"/>
                <w:sz w:val="22"/>
                <w:szCs w:val="22"/>
                <w:lang w:bidi="ar"/>
              </w:rPr>
              <w:t>16</w:t>
            </w:r>
          </w:p>
        </w:tc>
        <w:tc>
          <w:tcPr>
            <w:tcW w:w="3822" w:type="dxa"/>
            <w:vAlign w:val="center"/>
          </w:tcPr>
          <w:p>
            <w:pPr>
              <w:spacing w:line="384" w:lineRule="atLeast"/>
              <w:jc w:val="center"/>
              <w:rPr>
                <w:sz w:val="18"/>
                <w:szCs w:val="18"/>
              </w:rPr>
            </w:pPr>
            <w:r>
              <w:rPr>
                <w:sz w:val="20"/>
                <w:szCs w:val="20"/>
              </w:rPr>
              <w:t>全国大学生控制仿真挑战赛</w:t>
            </w:r>
          </w:p>
        </w:tc>
        <w:tc>
          <w:tcPr>
            <w:tcW w:w="4322" w:type="dxa"/>
            <w:vAlign w:val="center"/>
          </w:tcPr>
          <w:p>
            <w:pPr>
              <w:spacing w:line="384" w:lineRule="atLeast"/>
              <w:jc w:val="center"/>
              <w:rPr>
                <w:sz w:val="18"/>
                <w:szCs w:val="18"/>
              </w:rPr>
            </w:pPr>
            <w:r>
              <w:rPr>
                <w:sz w:val="20"/>
                <w:szCs w:val="20"/>
              </w:rPr>
              <w:t>教育部高等学校自动化专业教学指导分委员会、中国系统仿真学会、西门子（中国）有限公司工业领域工业自动化与驱动技术集团</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szCs w:val="21"/>
              </w:rPr>
            </w:pPr>
            <w:r>
              <w:rPr>
                <w:kern w:val="0"/>
                <w:sz w:val="22"/>
                <w:szCs w:val="22"/>
                <w:lang w:bidi="ar"/>
              </w:rPr>
              <w:t>17</w:t>
            </w:r>
          </w:p>
        </w:tc>
        <w:tc>
          <w:tcPr>
            <w:tcW w:w="3822" w:type="dxa"/>
            <w:vAlign w:val="center"/>
          </w:tcPr>
          <w:p>
            <w:pPr>
              <w:spacing w:line="384" w:lineRule="atLeast"/>
              <w:jc w:val="center"/>
              <w:rPr>
                <w:sz w:val="18"/>
                <w:szCs w:val="18"/>
              </w:rPr>
            </w:pPr>
            <w:r>
              <w:rPr>
                <w:sz w:val="20"/>
                <w:szCs w:val="20"/>
              </w:rPr>
              <w:t>中国MEMS传感器应用大赛</w:t>
            </w:r>
          </w:p>
        </w:tc>
        <w:tc>
          <w:tcPr>
            <w:tcW w:w="4322" w:type="dxa"/>
            <w:vAlign w:val="center"/>
          </w:tcPr>
          <w:p>
            <w:pPr>
              <w:spacing w:line="384" w:lineRule="atLeast"/>
              <w:jc w:val="center"/>
              <w:rPr>
                <w:sz w:val="18"/>
                <w:szCs w:val="18"/>
              </w:rPr>
            </w:pPr>
            <w:r>
              <w:rPr>
                <w:sz w:val="20"/>
                <w:szCs w:val="20"/>
              </w:rPr>
              <w:t>教育部理工科教学指导委员会</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szCs w:val="21"/>
              </w:rPr>
            </w:pPr>
            <w:r>
              <w:rPr>
                <w:kern w:val="0"/>
                <w:sz w:val="22"/>
                <w:szCs w:val="22"/>
                <w:lang w:bidi="ar"/>
              </w:rPr>
              <w:t>18</w:t>
            </w:r>
          </w:p>
        </w:tc>
        <w:tc>
          <w:tcPr>
            <w:tcW w:w="3822" w:type="dxa"/>
            <w:vAlign w:val="center"/>
          </w:tcPr>
          <w:p>
            <w:pPr>
              <w:spacing w:line="384" w:lineRule="atLeast"/>
              <w:jc w:val="center"/>
              <w:rPr>
                <w:sz w:val="20"/>
                <w:szCs w:val="20"/>
              </w:rPr>
            </w:pPr>
            <w:r>
              <w:rPr>
                <w:rFonts w:hint="eastAsia"/>
                <w:sz w:val="20"/>
                <w:szCs w:val="20"/>
              </w:rPr>
              <w:t>全国大学生工业自动化挑战赛</w:t>
            </w:r>
          </w:p>
        </w:tc>
        <w:tc>
          <w:tcPr>
            <w:tcW w:w="4322" w:type="dxa"/>
            <w:vAlign w:val="center"/>
          </w:tcPr>
          <w:p>
            <w:pPr>
              <w:spacing w:line="384" w:lineRule="atLeast"/>
              <w:jc w:val="center"/>
              <w:rPr>
                <w:sz w:val="20"/>
                <w:szCs w:val="20"/>
              </w:rPr>
            </w:pPr>
            <w:r>
              <w:rPr>
                <w:sz w:val="20"/>
                <w:szCs w:val="20"/>
              </w:rPr>
              <w:t>教育部高等学校自动化类专业教学指导分委员会</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sz w:val="18"/>
                <w:szCs w:val="18"/>
              </w:rPr>
            </w:pPr>
            <w:r>
              <w:rPr>
                <w:kern w:val="0"/>
                <w:sz w:val="22"/>
                <w:szCs w:val="22"/>
                <w:lang w:bidi="ar"/>
              </w:rPr>
              <w:t>19</w:t>
            </w:r>
          </w:p>
        </w:tc>
        <w:tc>
          <w:tcPr>
            <w:tcW w:w="3822" w:type="dxa"/>
            <w:vAlign w:val="center"/>
          </w:tcPr>
          <w:p>
            <w:pPr>
              <w:spacing w:line="384" w:lineRule="atLeast"/>
              <w:jc w:val="center"/>
              <w:rPr>
                <w:sz w:val="20"/>
                <w:szCs w:val="20"/>
              </w:rPr>
            </w:pPr>
            <w:r>
              <w:rPr>
                <w:rFonts w:hint="eastAsia"/>
                <w:sz w:val="20"/>
                <w:szCs w:val="20"/>
              </w:rPr>
              <w:t>全国大学生FPGA创新设计邀请赛</w:t>
            </w:r>
          </w:p>
        </w:tc>
        <w:tc>
          <w:tcPr>
            <w:tcW w:w="4322" w:type="dxa"/>
            <w:vAlign w:val="center"/>
          </w:tcPr>
          <w:p>
            <w:pPr>
              <w:spacing w:line="384" w:lineRule="atLeast"/>
              <w:jc w:val="center"/>
              <w:rPr>
                <w:sz w:val="20"/>
                <w:szCs w:val="20"/>
              </w:rPr>
            </w:pPr>
            <w:r>
              <w:rPr>
                <w:rFonts w:hint="eastAsia"/>
                <w:sz w:val="20"/>
                <w:szCs w:val="20"/>
              </w:rPr>
              <w:t>教育部电子信息类专业教学指导委员会、国家级实验教学示范中心联席会</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kern w:val="0"/>
                <w:sz w:val="22"/>
                <w:szCs w:val="22"/>
                <w:lang w:bidi="ar"/>
              </w:rPr>
            </w:pPr>
            <w:r>
              <w:rPr>
                <w:rFonts w:hint="eastAsia"/>
                <w:kern w:val="0"/>
                <w:sz w:val="22"/>
                <w:szCs w:val="22"/>
                <w:lang w:bidi="ar"/>
              </w:rPr>
              <w:t>20</w:t>
            </w:r>
          </w:p>
        </w:tc>
        <w:tc>
          <w:tcPr>
            <w:tcW w:w="3822" w:type="dxa"/>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“创青春”全国大学生创业大赛</w:t>
            </w:r>
          </w:p>
        </w:tc>
        <w:tc>
          <w:tcPr>
            <w:tcW w:w="4322" w:type="dxa"/>
            <w:vAlign w:val="center"/>
          </w:tcPr>
          <w:p>
            <w:pPr>
              <w:widowControl/>
              <w:jc w:val="center"/>
              <w:textAlignment w:val="center"/>
              <w:rPr>
                <w:sz w:val="18"/>
                <w:szCs w:val="18"/>
              </w:rPr>
            </w:pPr>
            <w:r>
              <w:rPr>
                <w:rFonts w:hint="eastAsia" w:ascii="宋体" w:hAnsi="宋体" w:cs="宋体"/>
                <w:kern w:val="0"/>
                <w:sz w:val="20"/>
                <w:szCs w:val="20"/>
                <w:lang w:bidi="ar"/>
              </w:rPr>
              <w:t>教育部等部委</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kern w:val="0"/>
                <w:sz w:val="22"/>
                <w:szCs w:val="22"/>
                <w:lang w:bidi="ar"/>
              </w:rPr>
            </w:pPr>
            <w:r>
              <w:rPr>
                <w:rFonts w:hint="eastAsia"/>
                <w:kern w:val="0"/>
                <w:sz w:val="22"/>
                <w:szCs w:val="22"/>
                <w:lang w:bidi="ar"/>
              </w:rPr>
              <w:t>21</w:t>
            </w:r>
          </w:p>
        </w:tc>
        <w:tc>
          <w:tcPr>
            <w:tcW w:w="3822" w:type="dxa"/>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全国大学生集成电路创新创业大赛</w:t>
            </w:r>
          </w:p>
        </w:tc>
        <w:tc>
          <w:tcPr>
            <w:tcW w:w="4322" w:type="dxa"/>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工业和信息化部人才交流中心</w:t>
            </w:r>
          </w:p>
        </w:tc>
        <w:tc>
          <w:tcPr>
            <w:tcW w:w="1134" w:type="dxa"/>
            <w:vAlign w:val="center"/>
          </w:tcPr>
          <w:p>
            <w:pPr>
              <w:spacing w:line="384" w:lineRule="atLeast"/>
              <w:jc w:val="center"/>
              <w:rPr>
                <w:sz w:val="20"/>
                <w:szCs w:val="20"/>
              </w:rPr>
            </w:pPr>
            <w:r>
              <w:rPr>
                <w:sz w:val="20"/>
                <w:szCs w:val="20"/>
              </w:rPr>
              <w:t>国家级B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spacing w:line="384" w:lineRule="atLeast"/>
              <w:jc w:val="center"/>
              <w:rPr>
                <w:rFonts w:ascii="宋体" w:hAnsi="宋体" w:cs="宋体"/>
                <w:szCs w:val="21"/>
              </w:rPr>
            </w:pPr>
            <w:r>
              <w:rPr>
                <w:sz w:val="18"/>
                <w:szCs w:val="18"/>
              </w:rPr>
              <w:t>序号</w:t>
            </w:r>
          </w:p>
        </w:tc>
        <w:tc>
          <w:tcPr>
            <w:tcW w:w="3822" w:type="dxa"/>
            <w:vAlign w:val="center"/>
          </w:tcPr>
          <w:p>
            <w:pPr>
              <w:spacing w:line="384" w:lineRule="atLeast"/>
              <w:jc w:val="center"/>
              <w:rPr>
                <w:sz w:val="18"/>
                <w:szCs w:val="18"/>
              </w:rPr>
            </w:pPr>
            <w:r>
              <w:rPr>
                <w:sz w:val="18"/>
                <w:szCs w:val="18"/>
              </w:rPr>
              <w:t>竞赛名称</w:t>
            </w:r>
          </w:p>
        </w:tc>
        <w:tc>
          <w:tcPr>
            <w:tcW w:w="4322" w:type="dxa"/>
            <w:vAlign w:val="center"/>
          </w:tcPr>
          <w:p>
            <w:pPr>
              <w:spacing w:line="384" w:lineRule="atLeast"/>
              <w:jc w:val="center"/>
              <w:rPr>
                <w:sz w:val="18"/>
                <w:szCs w:val="18"/>
              </w:rPr>
            </w:pPr>
            <w:r>
              <w:rPr>
                <w:sz w:val="18"/>
                <w:szCs w:val="18"/>
              </w:rPr>
              <w:t>主办单位</w:t>
            </w:r>
          </w:p>
        </w:tc>
        <w:tc>
          <w:tcPr>
            <w:tcW w:w="1134" w:type="dxa"/>
            <w:vAlign w:val="center"/>
          </w:tcPr>
          <w:p>
            <w:pPr>
              <w:spacing w:line="384" w:lineRule="atLeast"/>
              <w:jc w:val="center"/>
              <w:rPr>
                <w:sz w:val="20"/>
                <w:szCs w:val="20"/>
              </w:rPr>
            </w:pPr>
            <w:r>
              <w:rPr>
                <w:sz w:val="18"/>
                <w:szCs w:val="1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widowControl/>
              <w:jc w:val="center"/>
              <w:textAlignment w:val="center"/>
              <w:rPr>
                <w:kern w:val="0"/>
                <w:sz w:val="22"/>
                <w:szCs w:val="22"/>
                <w:lang w:bidi="ar"/>
              </w:rPr>
            </w:pPr>
            <w:r>
              <w:rPr>
                <w:rFonts w:hint="eastAsia"/>
                <w:kern w:val="0"/>
                <w:sz w:val="22"/>
                <w:szCs w:val="22"/>
                <w:lang w:bidi="ar"/>
              </w:rPr>
              <w:t>1</w:t>
            </w:r>
          </w:p>
        </w:tc>
        <w:tc>
          <w:tcPr>
            <w:tcW w:w="3822" w:type="dxa"/>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安徽省百所高校百万大学生科普创意创新大赛（双百）</w:t>
            </w:r>
          </w:p>
        </w:tc>
        <w:tc>
          <w:tcPr>
            <w:tcW w:w="4322" w:type="dxa"/>
            <w:vAlign w:val="center"/>
          </w:tcPr>
          <w:p>
            <w:pPr>
              <w:spacing w:line="384" w:lineRule="atLeast"/>
              <w:jc w:val="center"/>
              <w:rPr>
                <w:bCs/>
                <w:sz w:val="18"/>
                <w:szCs w:val="18"/>
              </w:rPr>
            </w:pPr>
            <w:r>
              <w:rPr>
                <w:rFonts w:hint="eastAsia" w:ascii="宋体" w:hAnsi="宋体" w:cs="宋体"/>
                <w:kern w:val="0"/>
                <w:sz w:val="20"/>
                <w:szCs w:val="20"/>
                <w:lang w:bidi="ar"/>
              </w:rPr>
              <w:t>安徽省科协、教育厅、团委主办</w:t>
            </w:r>
          </w:p>
        </w:tc>
        <w:tc>
          <w:tcPr>
            <w:tcW w:w="1134" w:type="dxa"/>
            <w:vAlign w:val="center"/>
          </w:tcPr>
          <w:p>
            <w:pPr>
              <w:spacing w:line="384" w:lineRule="atLeast"/>
              <w:jc w:val="center"/>
              <w:rPr>
                <w:bCs/>
                <w:sz w:val="18"/>
                <w:szCs w:val="18"/>
              </w:rPr>
            </w:pPr>
            <w:r>
              <w:rPr>
                <w:rFonts w:hint="eastAsia"/>
                <w:bCs/>
                <w:sz w:val="18"/>
                <w:szCs w:val="18"/>
              </w:rPr>
              <w:t>省级A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4" w:type="dxa"/>
            <w:vAlign w:val="center"/>
          </w:tcPr>
          <w:p>
            <w:pPr>
              <w:spacing w:line="384" w:lineRule="atLeast"/>
              <w:jc w:val="center"/>
              <w:rPr>
                <w:rFonts w:ascii="宋体" w:hAnsi="宋体" w:cs="宋体"/>
                <w:szCs w:val="21"/>
              </w:rPr>
            </w:pPr>
            <w:r>
              <w:rPr>
                <w:rFonts w:hint="eastAsia"/>
                <w:kern w:val="0"/>
                <w:sz w:val="22"/>
                <w:szCs w:val="22"/>
                <w:lang w:bidi="ar"/>
              </w:rPr>
              <w:t>2</w:t>
            </w:r>
          </w:p>
        </w:tc>
        <w:tc>
          <w:tcPr>
            <w:tcW w:w="3822" w:type="dxa"/>
            <w:vAlign w:val="center"/>
          </w:tcPr>
          <w:p>
            <w:pPr>
              <w:spacing w:line="384" w:lineRule="atLeast"/>
              <w:jc w:val="center"/>
              <w:rPr>
                <w:sz w:val="18"/>
                <w:szCs w:val="18"/>
              </w:rPr>
            </w:pPr>
            <w:r>
              <w:rPr>
                <w:rFonts w:hint="eastAsia"/>
                <w:sz w:val="18"/>
                <w:szCs w:val="18"/>
              </w:rPr>
              <w:t>安徽省电子设计竞赛</w:t>
            </w:r>
          </w:p>
        </w:tc>
        <w:tc>
          <w:tcPr>
            <w:tcW w:w="4322" w:type="dxa"/>
            <w:vAlign w:val="center"/>
          </w:tcPr>
          <w:p>
            <w:pPr>
              <w:spacing w:line="384" w:lineRule="atLeast"/>
              <w:jc w:val="center"/>
              <w:rPr>
                <w:sz w:val="18"/>
                <w:szCs w:val="18"/>
              </w:rPr>
            </w:pPr>
            <w:r>
              <w:rPr>
                <w:rFonts w:hint="eastAsia"/>
                <w:sz w:val="18"/>
                <w:szCs w:val="18"/>
              </w:rPr>
              <w:t>安徽省教育厅</w:t>
            </w:r>
          </w:p>
        </w:tc>
        <w:tc>
          <w:tcPr>
            <w:tcW w:w="1134" w:type="dxa"/>
            <w:vAlign w:val="center"/>
          </w:tcPr>
          <w:p>
            <w:pPr>
              <w:spacing w:line="384" w:lineRule="atLeast"/>
              <w:jc w:val="center"/>
              <w:rPr>
                <w:sz w:val="20"/>
                <w:szCs w:val="20"/>
              </w:rPr>
            </w:pPr>
            <w:r>
              <w:rPr>
                <w:rFonts w:hint="eastAsia"/>
                <w:bCs/>
                <w:sz w:val="18"/>
                <w:szCs w:val="18"/>
              </w:rPr>
              <w:t>省级A</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2D61"/>
    <w:multiLevelType w:val="multilevel"/>
    <w:tmpl w:val="20022D61"/>
    <w:lvl w:ilvl="0" w:tentative="0">
      <w:start w:val="1"/>
      <w:numFmt w:val="japaneseCounting"/>
      <w:lvlText w:val="%1、"/>
      <w:lvlJc w:val="left"/>
      <w:pPr>
        <w:tabs>
          <w:tab w:val="left" w:pos="-240"/>
        </w:tabs>
        <w:ind w:left="-240" w:hanging="480"/>
      </w:pPr>
      <w:rPr>
        <w:rFonts w:hAnsi="宋体"/>
      </w:rPr>
    </w:lvl>
    <w:lvl w:ilvl="1" w:tentative="0">
      <w:start w:val="1"/>
      <w:numFmt w:val="decimal"/>
      <w:lvlText w:val="（%2）"/>
      <w:lvlJc w:val="left"/>
      <w:pPr>
        <w:tabs>
          <w:tab w:val="left" w:pos="720"/>
        </w:tabs>
        <w:ind w:left="720" w:hanging="720"/>
      </w:pPr>
      <w:rPr>
        <w:rFonts w:hAnsi="宋体"/>
      </w:r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33681"/>
    <w:rsid w:val="0531122D"/>
    <w:rsid w:val="165E53B3"/>
    <w:rsid w:val="1E8A2A7C"/>
    <w:rsid w:val="1FF15F82"/>
    <w:rsid w:val="27D87203"/>
    <w:rsid w:val="29820F69"/>
    <w:rsid w:val="43FB476F"/>
    <w:rsid w:val="46576CB7"/>
    <w:rsid w:val="64F72F71"/>
    <w:rsid w:val="6CD83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FollowedHyperlink"/>
    <w:basedOn w:val="5"/>
    <w:uiPriority w:val="0"/>
    <w:rPr>
      <w:color w:val="800080"/>
      <w:u w:val="none"/>
    </w:rPr>
  </w:style>
  <w:style w:type="character" w:styleId="7">
    <w:name w:val="Hyperlink"/>
    <w:basedOn w:val="5"/>
    <w:uiPriority w:val="0"/>
    <w:rPr>
      <w:color w:val="0000FF"/>
      <w:u w:val="none"/>
    </w:rPr>
  </w:style>
  <w:style w:type="paragraph" w:styleId="8">
    <w:name w:val="List Paragraph"/>
    <w:basedOn w:val="1"/>
    <w:qFormat/>
    <w:uiPriority w:val="34"/>
    <w:pPr>
      <w:ind w:firstLine="420" w:firstLineChars="200"/>
    </w:pPr>
    <w:rPr>
      <w:rFonts w:ascii="Times New Roman" w:hAnsi="Times New Roman"/>
      <w:szCs w:val="24"/>
    </w:rPr>
  </w:style>
  <w:style w:type="paragraph" w:customStyle="1" w:styleId="9">
    <w:name w:val="Default"/>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 w:type="character" w:customStyle="1" w:styleId="10">
    <w:name w:val="item-name"/>
    <w:basedOn w:val="5"/>
    <w:uiPriority w:val="0"/>
    <w:rPr>
      <w:bdr w:val="none" w:color="auto" w:sz="0" w:space="0"/>
    </w:rPr>
  </w:style>
  <w:style w:type="character" w:customStyle="1" w:styleId="11">
    <w:name w:val="item-name1"/>
    <w:basedOn w:val="5"/>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AHU-SI-YY</dc:creator>
  <cp:lastModifiedBy>ccd5</cp:lastModifiedBy>
  <cp:lastPrinted>2019-09-09T08:05:24Z</cp:lastPrinted>
  <dcterms:modified xsi:type="dcterms:W3CDTF">2019-09-09T08:20:51Z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